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宋体" w:asciiTheme="minorEastAsia" w:hAnsiTheme="minorEastAsia"/>
          <w:sz w:val="21"/>
          <w:szCs w:val="21"/>
          <w:highlight w:val="none"/>
          <w:u w:val="none"/>
          <w:lang w:val="en-US" w:eastAsia="zh-CN"/>
        </w:rPr>
        <w:t>杭州企业产权交易中心有限公司：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b/>
          <w:bCs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asciiTheme="minorEastAsia" w:hAnsiTheme="minorEastAsia"/>
          <w:b/>
          <w:bCs/>
          <w:sz w:val="21"/>
          <w:szCs w:val="21"/>
          <w:highlight w:val="none"/>
          <w:u w:val="singl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9000元履约保证金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1F933C39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4FD728FD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7DA47A8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YY</cp:lastModifiedBy>
  <dcterms:modified xsi:type="dcterms:W3CDTF">2026-01-15T07:45:35Z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B3AB801099B348EF99369285FDB2180F</vt:lpwstr>
  </property>
</Properties>
</file>