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none"/>
        </w:rPr>
        <w:t>杭州市公共自行车服务点2000</w:t>
      </w:r>
      <w:r>
        <w:rPr>
          <w:rFonts w:hint="eastAsia" w:asciiTheme="minorEastAsia" w:hAnsiTheme="minorEastAsia" w:eastAsiaTheme="minorEastAsia"/>
          <w:szCs w:val="21"/>
          <w:u w:val="none"/>
          <w:lang w:val="en-US" w:eastAsia="zh-CN"/>
        </w:rPr>
        <w:t>块</w:t>
      </w:r>
      <w:r>
        <w:rPr>
          <w:rFonts w:hint="eastAsia" w:asciiTheme="minorEastAsia" w:hAnsiTheme="minorEastAsia" w:eastAsiaTheme="minorEastAsia"/>
          <w:szCs w:val="21"/>
          <w:u w:val="none"/>
        </w:rPr>
        <w:t>大牌媒体资源3年使用权</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1）同意在被确定为受让方之日起3个工作日内，携带受让申请材料原件到杭交所完成现场确认并签署《成交通知书》、《杭州市公共自行车服务点大牌媒体资源使用权出让合同》；并在《杭州市公共自行车服务点大牌媒体资源使用权出让合同》签署之日起15个工作日内向杭交所指定账户一次性支付</w:t>
      </w:r>
      <w:bookmarkStart w:id="0" w:name="_Hlk205743290"/>
      <w:r>
        <w:rPr>
          <w:rFonts w:hint="eastAsia" w:ascii="宋体" w:hAnsi="宋体" w:eastAsia="宋体" w:cs="宋体"/>
          <w:kern w:val="0"/>
          <w:sz w:val="21"/>
          <w:szCs w:val="21"/>
        </w:rPr>
        <w:t>交易服务费、履约保证金、首期媒体资源使用费</w:t>
      </w:r>
      <w:bookmarkEnd w:id="0"/>
      <w:r>
        <w:rPr>
          <w:rFonts w:hint="eastAsia" w:ascii="宋体" w:hAnsi="宋体" w:eastAsia="宋体" w:cs="宋体"/>
          <w:kern w:val="0"/>
          <w:sz w:val="21"/>
          <w:szCs w:val="21"/>
        </w:rPr>
        <w:t>等交易资金（以到账时间为准）；</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（2）同意杭交所在经转让方申请之日起3个工作日内将受让方已交纳的履约保证金、首期媒体资源使用费划转至转让方指定账户。</w:t>
      </w:r>
    </w:p>
    <w:p>
      <w:pPr>
        <w:pStyle w:val="7"/>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kern w:val="0"/>
          <w:sz w:val="24"/>
          <w:szCs w:val="24"/>
        </w:rPr>
      </w:pPr>
      <w:r>
        <w:rPr>
          <w:rFonts w:hint="eastAsia" w:ascii="宋体" w:hAnsi="宋体" w:eastAsia="宋体" w:cs="宋体"/>
          <w:kern w:val="0"/>
          <w:sz w:val="21"/>
          <w:szCs w:val="21"/>
          <w:lang w:val="en-US" w:eastAsia="zh-CN" w:bidi="ar"/>
        </w:rPr>
        <w:t>（3）知悉并同意：本次公共自行车服务点大牌媒体资源属杭州市公共交通集团有限公司所有，经杭州市公共交通集团有限公司授权委托，由转让方负责对公共自行车服务点大牌媒体资源进行规范管理。根据双方签订的《杭州公共自行车运营服务委托合同》约定，杭州市公共交通集团有限公司给予转让方的上述运营服务期限为10年，至2028年7月31日止。转让方保证公共自行车服务点大牌媒体资源产权无争议。公共自行车服务点大牌媒体资源移交后，转让方仅能提供《杭州公共自行车运营服务委托合同》复印件作为权属资料，受让方在进行经营活动前，自行取得政府有关部门批准必要的执照、批准证书或许可证等，转让方予以配合，转让方对受让方办理政府有关部门批准必要的执照、批准证书或许可证等手续不作任何保证、不承担任何责任。若受让方因上述原因最终未能取得政府有关部门批准必要的执照、批准证书或许可证等的，放弃向转让方追究违约责任的权利。</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4）知悉并同意：受让方应按《中华人民共和国广告法》及有关法规条例经营广告业务。因受让方违规违法发布广告等其他情形的，所引起一切法律后果由受让方承担，若同时导致转让方受到损害的，受让方将承担对转让方的补充责任。</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（5）知悉并同意：转让方有权对受让方发布的各类广告内容进行审核，在未审核之前受让方不得发布。</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6）知悉并同意：受让方广告画面的制作材料和画面精度必须符合转让方要求。广告媒体及灯箱（包括电器、锁具等部件）等相应设施发生故障损坏，受让方需在48小时内自行更换和修复，费用由受让方承担；根据杭城管（2009）27号文件要求受让方需保证自行车媒体灯箱100%的亮灯率。</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w:t>
      </w:r>
      <w:r>
        <w:rPr>
          <w:rStyle w:val="21"/>
          <w:rFonts w:hint="default" w:ascii="Times New Roman" w:hAnsi="Times New Roman" w:eastAsia="宋体" w:cs="Times New Roman"/>
          <w:sz w:val="21"/>
          <w:szCs w:val="21"/>
        </w:rPr>
        <w:t>7</w:t>
      </w:r>
      <w:r>
        <w:rPr>
          <w:rStyle w:val="21"/>
          <w:rFonts w:hint="eastAsia" w:ascii="宋体" w:hAnsi="宋体" w:eastAsia="宋体" w:cs="宋体"/>
          <w:sz w:val="21"/>
          <w:szCs w:val="21"/>
        </w:rPr>
        <w:t>）《杭州市公共自行车服务点大牌媒体资源使用权出让合同》履行期间，受让方须向转让方支付大牌灯箱媒体的电力管线维护费。电力管线维护费收取标准为600元/年·点位收取，共954处服务点，电力管线维护费含税总价¥572400元/年（大写：伍拾柒万贰仟肆佰元）。</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杭州市公共自行车服务点大牌媒体资源使用权出让合同》履行期间，受让方承担经营自行车服务点的单面灯箱952块，双面灯箱1048块的媒体电费，媒体灯箱亮灯时间以每天不低于4小时计，按现行电价计算，首年媒体用电费预计含税总价¥1170000元（大写：壹佰壹拾柒万元整）。受让方实际经营过程中，因涉及服务点拆除及新增，具体媒体电费按实结算（按实结算：每处服务点实际经营的媒体灯箱总数）</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①媒体电费每1自然年结算一次，每自然年度最后一个月为结算月，结算月的最后一天前双方完成应付媒体电费确认，且在结算月的最后一天受让方向转让方账户完成媒体电费支付。首期媒体电费应在2026年12月31日前由双方完成应付媒体电费确认，且应在2026年12月31日一次性向转让方账户完成媒体电费支付，以后各期按上述时间约定按实结算给转让方。</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②电力管线维护费的支付时间和支付周期与媒体电费的支付时间和周期一致。</w:t>
      </w:r>
    </w:p>
    <w:p>
      <w:pPr>
        <w:pStyle w:val="17"/>
        <w:numPr>
          <w:ilvl w:val="0"/>
          <w:numId w:val="1"/>
        </w:numPr>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知悉并同意：转让方确保通电，如出现媒体外部通电故障，应在48小时内完成修复，但广告媒体及灯箱（包括电器、锁具等部件）等媒体内部相应设施故障的修复和更换由受让方负责并承担因此产生的全部费用。受让方承担公共自行车服务点媒体资源使用权出让项目中已出让媒体资源位外的用电费及电力管线维护费用。大牌媒体灯箱亮灯时间为每天不低于4个小时（冬季：17：30-21:30；夏季：18:00-22:00）。</w:t>
      </w:r>
    </w:p>
    <w:p>
      <w:pPr>
        <w:pStyle w:val="17"/>
        <w:numPr>
          <w:ilvl w:val="0"/>
          <w:numId w:val="1"/>
        </w:numPr>
        <w:ind w:left="0" w:firstLine="420" w:firstLineChars="200"/>
        <w:rPr>
          <w:rFonts w:hint="eastAsia" w:ascii="宋体" w:hAnsi="宋体" w:eastAsia="宋体" w:cs="宋体"/>
          <w:color w:val="auto"/>
          <w:kern w:val="0"/>
          <w:sz w:val="21"/>
          <w:szCs w:val="21"/>
          <w:highlight w:val="none"/>
        </w:rPr>
      </w:pPr>
      <w:r>
        <w:rPr>
          <w:rStyle w:val="21"/>
          <w:rFonts w:hint="eastAsia" w:ascii="宋体" w:hAnsi="宋体" w:eastAsia="宋体" w:cs="宋体"/>
          <w:sz w:val="21"/>
          <w:szCs w:val="21"/>
        </w:rPr>
        <w:t>本次公共自行车服务亭属杭州市公共交通集团有限公司所有，经杭州市公共交通集团有限公司委托，由转让方负责对公共自行车服务亭进行经营管理。根据双方签订的《杭州公告自行车运营服务委托合同》约定，杭州市公共交通集团有限公司给予转让方的上述运营服务期限为</w:t>
      </w:r>
      <w:r>
        <w:rPr>
          <w:rStyle w:val="21"/>
          <w:rFonts w:hint="default" w:ascii="Times New Roman" w:hAnsi="Times New Roman" w:eastAsia="宋体" w:cs="Times New Roman"/>
          <w:sz w:val="21"/>
          <w:szCs w:val="21"/>
        </w:rPr>
        <w:t>10</w:t>
      </w:r>
      <w:r>
        <w:rPr>
          <w:rStyle w:val="21"/>
          <w:rFonts w:hint="eastAsia" w:ascii="宋体" w:hAnsi="宋体" w:eastAsia="宋体" w:cs="宋体"/>
          <w:sz w:val="21"/>
          <w:szCs w:val="21"/>
        </w:rPr>
        <w:t>年，至</w:t>
      </w:r>
      <w:r>
        <w:rPr>
          <w:rStyle w:val="21"/>
          <w:rFonts w:hint="default" w:ascii="Times New Roman" w:hAnsi="Times New Roman" w:eastAsia="宋体" w:cs="Times New Roman"/>
          <w:sz w:val="21"/>
          <w:szCs w:val="21"/>
        </w:rPr>
        <w:t>2028</w:t>
      </w:r>
      <w:r>
        <w:rPr>
          <w:rStyle w:val="21"/>
          <w:rFonts w:hint="eastAsia" w:ascii="宋体" w:hAnsi="宋体" w:eastAsia="宋体" w:cs="宋体"/>
          <w:sz w:val="21"/>
          <w:szCs w:val="21"/>
        </w:rPr>
        <w:t>年</w:t>
      </w:r>
      <w:r>
        <w:rPr>
          <w:rStyle w:val="21"/>
          <w:rFonts w:hint="default" w:ascii="Times New Roman" w:hAnsi="Times New Roman" w:eastAsia="宋体" w:cs="Times New Roman"/>
          <w:sz w:val="21"/>
          <w:szCs w:val="21"/>
        </w:rPr>
        <w:t>7</w:t>
      </w:r>
      <w:r>
        <w:rPr>
          <w:rStyle w:val="21"/>
          <w:rFonts w:hint="eastAsia" w:ascii="宋体" w:hAnsi="宋体" w:eastAsia="宋体" w:cs="宋体"/>
          <w:sz w:val="21"/>
          <w:szCs w:val="21"/>
        </w:rPr>
        <w:t>月</w:t>
      </w:r>
      <w:r>
        <w:rPr>
          <w:rStyle w:val="21"/>
          <w:rFonts w:hint="default" w:ascii="Times New Roman" w:hAnsi="Times New Roman" w:eastAsia="宋体" w:cs="Times New Roman"/>
          <w:sz w:val="21"/>
          <w:szCs w:val="21"/>
        </w:rPr>
        <w:t>31</w:t>
      </w:r>
      <w:r>
        <w:rPr>
          <w:rStyle w:val="21"/>
          <w:rFonts w:hint="eastAsia" w:ascii="宋体" w:hAnsi="宋体" w:eastAsia="宋体" w:cs="宋体"/>
          <w:sz w:val="21"/>
          <w:szCs w:val="21"/>
        </w:rPr>
        <w:t>日止。截止本次信息披露日，转让方尚在办理上述委托合同的续期手续。若因上述委托合同不能续期的，受让方须无条件同意，本次公开交易的使用期最长截止至</w:t>
      </w:r>
      <w:r>
        <w:rPr>
          <w:rStyle w:val="21"/>
          <w:rFonts w:hint="default" w:ascii="Times New Roman" w:hAnsi="Times New Roman" w:eastAsia="宋体" w:cs="Times New Roman"/>
          <w:sz w:val="21"/>
          <w:szCs w:val="21"/>
        </w:rPr>
        <w:t>2028</w:t>
      </w:r>
      <w:r>
        <w:rPr>
          <w:rStyle w:val="21"/>
          <w:rFonts w:hint="eastAsia" w:ascii="宋体" w:hAnsi="宋体" w:eastAsia="宋体" w:cs="宋体"/>
          <w:sz w:val="21"/>
          <w:szCs w:val="21"/>
        </w:rPr>
        <w:t>年</w:t>
      </w:r>
      <w:r>
        <w:rPr>
          <w:rStyle w:val="21"/>
          <w:rFonts w:hint="default" w:ascii="Times New Roman" w:hAnsi="Times New Roman" w:eastAsia="宋体" w:cs="Times New Roman"/>
          <w:sz w:val="21"/>
          <w:szCs w:val="21"/>
        </w:rPr>
        <w:t>7</w:t>
      </w:r>
      <w:r>
        <w:rPr>
          <w:rStyle w:val="21"/>
          <w:rFonts w:hint="eastAsia" w:ascii="宋体" w:hAnsi="宋体" w:eastAsia="宋体" w:cs="宋体"/>
          <w:sz w:val="21"/>
          <w:szCs w:val="21"/>
        </w:rPr>
        <w:t>月</w:t>
      </w:r>
      <w:r>
        <w:rPr>
          <w:rStyle w:val="21"/>
          <w:rFonts w:hint="default" w:ascii="Times New Roman" w:hAnsi="Times New Roman" w:eastAsia="宋体" w:cs="Times New Roman"/>
          <w:sz w:val="21"/>
          <w:szCs w:val="21"/>
        </w:rPr>
        <w:t>31</w:t>
      </w:r>
      <w:r>
        <w:rPr>
          <w:rStyle w:val="21"/>
          <w:rFonts w:hint="eastAsia" w:ascii="宋体" w:hAnsi="宋体" w:eastAsia="宋体" w:cs="宋体"/>
          <w:sz w:val="21"/>
          <w:szCs w:val="21"/>
        </w:rPr>
        <w:t>日止。若因上述委托合同不能续期导致交易标的使用期变化的不调整交易服务费。</w:t>
      </w:r>
    </w:p>
    <w:p>
      <w:pPr>
        <w:keepNext w:val="0"/>
        <w:keepLines w:val="0"/>
        <w:widowControl/>
        <w:suppressLineNumbers w:val="0"/>
        <w:ind w:firstLine="420" w:firstLineChars="200"/>
        <w:jc w:val="left"/>
        <w:rPr>
          <w:color w:val="auto"/>
          <w:highlight w:val="none"/>
        </w:rPr>
      </w:pPr>
      <w:r>
        <w:rPr>
          <w:rStyle w:val="21"/>
          <w:rFonts w:hint="eastAsia" w:ascii="宋体" w:hAnsi="宋体" w:eastAsia="宋体" w:cs="宋体"/>
          <w:color w:val="auto"/>
          <w:sz w:val="21"/>
          <w:szCs w:val="21"/>
          <w:highlight w:val="none"/>
        </w:rPr>
        <w:t>（</w:t>
      </w:r>
      <w:r>
        <w:rPr>
          <w:rStyle w:val="21"/>
          <w:rFonts w:hint="default" w:ascii="Times New Roman" w:hAnsi="Times New Roman" w:eastAsia="宋体" w:cs="Times New Roman"/>
          <w:color w:val="auto"/>
          <w:sz w:val="21"/>
          <w:szCs w:val="21"/>
          <w:highlight w:val="none"/>
        </w:rPr>
        <w:t>10</w:t>
      </w:r>
      <w:r>
        <w:rPr>
          <w:rStyle w:val="21"/>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
        </w:rPr>
        <w:t>知悉并同意：如遇市政规划和道路建设需要移动或拆除公共自行车服务点时，由转让方负责迁移、改建、重建，受让方应予以配合，所涉及的大牌灯箱按同类地段置换原则双方协商处理。</w:t>
      </w:r>
    </w:p>
    <w:p>
      <w:pPr>
        <w:pStyle w:val="17"/>
        <w:ind w:left="0" w:firstLine="420" w:firstLineChars="200"/>
        <w:rPr>
          <w:rFonts w:hint="eastAsia" w:ascii="宋体" w:hAnsi="宋体" w:eastAsia="宋体" w:cs="宋体"/>
          <w:color w:val="auto"/>
          <w:kern w:val="0"/>
          <w:sz w:val="21"/>
          <w:szCs w:val="21"/>
          <w:highlight w:val="none"/>
        </w:rPr>
      </w:pPr>
      <w:r>
        <w:rPr>
          <w:rStyle w:val="21"/>
          <w:rFonts w:hint="eastAsia" w:ascii="宋体" w:hAnsi="宋体" w:eastAsia="宋体" w:cs="宋体"/>
          <w:color w:val="auto"/>
          <w:sz w:val="21"/>
          <w:szCs w:val="21"/>
          <w:highlight w:val="none"/>
        </w:rPr>
        <w:t>（1</w:t>
      </w:r>
      <w:r>
        <w:rPr>
          <w:rStyle w:val="21"/>
          <w:rFonts w:hint="default" w:ascii="Times New Roman" w:hAnsi="Times New Roman" w:eastAsia="宋体" w:cs="Times New Roman"/>
          <w:color w:val="auto"/>
          <w:sz w:val="21"/>
          <w:szCs w:val="21"/>
          <w:highlight w:val="none"/>
        </w:rPr>
        <w:t>1</w:t>
      </w:r>
      <w:r>
        <w:rPr>
          <w:rStyle w:val="21"/>
          <w:rFonts w:hint="eastAsia" w:ascii="宋体" w:hAnsi="宋体" w:eastAsia="宋体" w:cs="宋体"/>
          <w:color w:val="auto"/>
          <w:sz w:val="21"/>
          <w:szCs w:val="21"/>
          <w:highlight w:val="none"/>
        </w:rPr>
        <w:t>）知悉并同意：本合同约定的媒体资源位应由受让方亲自进行经营，受让方不得将合同约定的媒体资源使用权全部或部分转租、转让、转借、委托等其他方式让任何第三方经营。</w:t>
      </w:r>
    </w:p>
    <w:p>
      <w:pPr>
        <w:pStyle w:val="7"/>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auto"/>
          <w:kern w:val="0"/>
          <w:sz w:val="21"/>
          <w:szCs w:val="21"/>
          <w:highlight w:val="none"/>
        </w:rPr>
      </w:pPr>
      <w:r>
        <w:rPr>
          <w:rStyle w:val="21"/>
          <w:rFonts w:hint="eastAsia" w:ascii="宋体" w:hAnsi="宋体" w:eastAsia="宋体" w:cs="宋体"/>
          <w:color w:val="auto"/>
          <w:sz w:val="21"/>
          <w:szCs w:val="21"/>
          <w:highlight w:val="none"/>
        </w:rPr>
        <w:t>（1</w:t>
      </w:r>
      <w:r>
        <w:rPr>
          <w:rStyle w:val="21"/>
          <w:rFonts w:hint="default" w:ascii="Times New Roman" w:hAnsi="Times New Roman" w:eastAsia="宋体" w:cs="Times New Roman"/>
          <w:color w:val="auto"/>
          <w:sz w:val="21"/>
          <w:szCs w:val="21"/>
          <w:highlight w:val="none"/>
        </w:rPr>
        <w:t>2</w:t>
      </w:r>
      <w:r>
        <w:rPr>
          <w:rStyle w:val="21"/>
          <w:rFonts w:hint="eastAsia" w:ascii="宋体" w:hAnsi="宋体" w:eastAsia="宋体" w:cs="宋体"/>
          <w:color w:val="auto"/>
          <w:sz w:val="21"/>
          <w:szCs w:val="21"/>
          <w:highlight w:val="none"/>
        </w:rPr>
        <w:t>）知悉并同意：转让方将向受让方开具增值税专用发票，</w:t>
      </w:r>
      <w:r>
        <w:rPr>
          <w:rFonts w:hint="eastAsia" w:ascii="宋体" w:hAnsi="宋体" w:eastAsia="宋体" w:cs="宋体"/>
          <w:color w:val="auto"/>
          <w:kern w:val="0"/>
          <w:sz w:val="21"/>
          <w:szCs w:val="21"/>
          <w:highlight w:val="none"/>
          <w:lang w:val="en-US" w:eastAsia="zh-CN" w:bidi="ar"/>
        </w:rPr>
        <w:t>媒体资源使用费税金为</w:t>
      </w:r>
      <w:r>
        <w:rPr>
          <w:rFonts w:hint="default" w:ascii="Times New Roman" w:hAnsi="Times New Roman"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，电力管线维护费税金为</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。因电力部门实际不予开具对应电费的发票</w:t>
      </w:r>
      <w:bookmarkStart w:id="1" w:name="_GoBack"/>
      <w:bookmarkEnd w:id="1"/>
      <w:r>
        <w:rPr>
          <w:rFonts w:hint="eastAsia" w:ascii="宋体" w:hAnsi="宋体" w:eastAsia="宋体" w:cs="宋体"/>
          <w:color w:val="auto"/>
          <w:kern w:val="0"/>
          <w:sz w:val="21"/>
          <w:szCs w:val="21"/>
          <w:highlight w:val="none"/>
          <w:lang w:val="en-US" w:eastAsia="zh-CN" w:bidi="ar"/>
        </w:rPr>
        <w:t>给</w:t>
      </w:r>
      <w:r>
        <w:rPr>
          <w:rFonts w:hint="eastAsia" w:cs="宋体"/>
          <w:color w:val="auto"/>
          <w:kern w:val="0"/>
          <w:sz w:val="21"/>
          <w:szCs w:val="21"/>
          <w:highlight w:val="none"/>
          <w:lang w:val="en-US" w:eastAsia="zh-CN" w:bidi="ar"/>
        </w:rPr>
        <w:t>转让</w:t>
      </w:r>
      <w:r>
        <w:rPr>
          <w:rFonts w:hint="eastAsia" w:ascii="宋体" w:hAnsi="宋体" w:eastAsia="宋体" w:cs="宋体"/>
          <w:color w:val="auto"/>
          <w:kern w:val="0"/>
          <w:sz w:val="21"/>
          <w:szCs w:val="21"/>
          <w:highlight w:val="none"/>
          <w:lang w:val="en-US" w:eastAsia="zh-CN" w:bidi="ar"/>
        </w:rPr>
        <w:t>方，</w:t>
      </w:r>
      <w:r>
        <w:rPr>
          <w:rFonts w:hint="eastAsia" w:cs="宋体"/>
          <w:color w:val="auto"/>
          <w:kern w:val="0"/>
          <w:sz w:val="21"/>
          <w:szCs w:val="21"/>
          <w:highlight w:val="none"/>
          <w:lang w:val="en-US" w:eastAsia="zh-CN" w:bidi="ar"/>
        </w:rPr>
        <w:t>承租</w:t>
      </w:r>
      <w:r>
        <w:rPr>
          <w:rFonts w:hint="eastAsia" w:ascii="宋体" w:hAnsi="宋体" w:eastAsia="宋体" w:cs="宋体"/>
          <w:color w:val="auto"/>
          <w:kern w:val="0"/>
          <w:sz w:val="21"/>
          <w:szCs w:val="21"/>
          <w:highlight w:val="none"/>
          <w:lang w:val="en-US" w:eastAsia="zh-CN" w:bidi="ar"/>
        </w:rPr>
        <w:t>方已明确知晓上述情况，故同意</w:t>
      </w:r>
      <w:r>
        <w:rPr>
          <w:rFonts w:hint="eastAsia" w:cs="宋体"/>
          <w:color w:val="auto"/>
          <w:kern w:val="0"/>
          <w:sz w:val="21"/>
          <w:szCs w:val="21"/>
          <w:highlight w:val="none"/>
          <w:lang w:val="en-US" w:eastAsia="zh-CN" w:bidi="ar"/>
        </w:rPr>
        <w:t>转让方</w:t>
      </w:r>
      <w:r>
        <w:rPr>
          <w:rFonts w:hint="eastAsia" w:ascii="宋体" w:hAnsi="宋体" w:eastAsia="宋体" w:cs="宋体"/>
          <w:color w:val="auto"/>
          <w:kern w:val="0"/>
          <w:sz w:val="21"/>
          <w:szCs w:val="21"/>
          <w:highlight w:val="none"/>
          <w:lang w:val="en-US" w:eastAsia="zh-CN" w:bidi="ar"/>
        </w:rPr>
        <w:t>无须开具电费发票给</w:t>
      </w:r>
      <w:r>
        <w:rPr>
          <w:rFonts w:hint="eastAsia" w:cs="宋体"/>
          <w:color w:val="auto"/>
          <w:kern w:val="0"/>
          <w:sz w:val="21"/>
          <w:szCs w:val="21"/>
          <w:highlight w:val="none"/>
          <w:lang w:val="en-US" w:eastAsia="zh-CN" w:bidi="ar"/>
        </w:rPr>
        <w:t>受让方</w:t>
      </w:r>
      <w:r>
        <w:rPr>
          <w:rFonts w:hint="eastAsia" w:ascii="宋体" w:hAnsi="宋体" w:eastAsia="宋体" w:cs="宋体"/>
          <w:color w:val="auto"/>
          <w:kern w:val="0"/>
          <w:sz w:val="21"/>
          <w:szCs w:val="21"/>
          <w:highlight w:val="none"/>
          <w:lang w:val="en-US" w:eastAsia="zh-CN" w:bidi="ar"/>
        </w:rPr>
        <w:t>，</w:t>
      </w:r>
      <w:r>
        <w:rPr>
          <w:rFonts w:hint="eastAsia" w:cs="宋体"/>
          <w:color w:val="auto"/>
          <w:kern w:val="0"/>
          <w:sz w:val="21"/>
          <w:szCs w:val="21"/>
          <w:highlight w:val="none"/>
          <w:lang w:val="en-US" w:eastAsia="zh-CN" w:bidi="ar"/>
        </w:rPr>
        <w:t>受让方</w:t>
      </w:r>
      <w:r>
        <w:rPr>
          <w:rFonts w:hint="eastAsia" w:ascii="宋体" w:hAnsi="宋体" w:eastAsia="宋体" w:cs="宋体"/>
          <w:color w:val="auto"/>
          <w:kern w:val="0"/>
          <w:sz w:val="21"/>
          <w:szCs w:val="21"/>
          <w:highlight w:val="none"/>
          <w:lang w:val="en-US" w:eastAsia="zh-CN" w:bidi="ar"/>
        </w:rPr>
        <w:t>不得以</w:t>
      </w:r>
      <w:r>
        <w:rPr>
          <w:rFonts w:hint="eastAsia" w:cs="宋体"/>
          <w:color w:val="auto"/>
          <w:kern w:val="0"/>
          <w:sz w:val="21"/>
          <w:szCs w:val="21"/>
          <w:highlight w:val="none"/>
          <w:lang w:val="en-US" w:eastAsia="zh-CN" w:bidi="ar"/>
        </w:rPr>
        <w:t>转让方</w:t>
      </w:r>
      <w:r>
        <w:rPr>
          <w:rFonts w:hint="eastAsia" w:ascii="宋体" w:hAnsi="宋体" w:eastAsia="宋体" w:cs="宋体"/>
          <w:color w:val="auto"/>
          <w:kern w:val="0"/>
          <w:sz w:val="21"/>
          <w:szCs w:val="21"/>
          <w:highlight w:val="none"/>
          <w:lang w:val="en-US" w:eastAsia="zh-CN" w:bidi="ar"/>
        </w:rPr>
        <w:t>无法开具电费发票为由拒绝支付电费。</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color w:val="auto"/>
          <w:sz w:val="21"/>
          <w:szCs w:val="21"/>
          <w:highlight w:val="none"/>
        </w:rPr>
        <w:t>（1</w:t>
      </w:r>
      <w:r>
        <w:rPr>
          <w:rStyle w:val="21"/>
          <w:rFonts w:hint="default" w:ascii="Times New Roman" w:hAnsi="Times New Roman" w:eastAsia="宋体" w:cs="Times New Roman"/>
          <w:color w:val="auto"/>
          <w:sz w:val="21"/>
          <w:szCs w:val="21"/>
          <w:highlight w:val="none"/>
        </w:rPr>
        <w:t>3</w:t>
      </w:r>
      <w:r>
        <w:rPr>
          <w:rStyle w:val="21"/>
          <w:rFonts w:hint="eastAsia" w:ascii="宋体" w:hAnsi="宋体" w:eastAsia="宋体" w:cs="宋体"/>
          <w:color w:val="auto"/>
          <w:sz w:val="21"/>
          <w:szCs w:val="21"/>
          <w:highlight w:val="none"/>
        </w:rPr>
        <w:t>）知悉并同意：杭州市主城区《临时占用道路许可证》载明的占用时间为一年，转让方承诺：上述占用时间到期后由转让方负责续期，并保证</w:t>
      </w:r>
      <w:r>
        <w:rPr>
          <w:rStyle w:val="21"/>
          <w:rFonts w:hint="eastAsia" w:ascii="宋体" w:hAnsi="宋体" w:eastAsia="宋体" w:cs="宋体"/>
          <w:sz w:val="21"/>
          <w:szCs w:val="21"/>
        </w:rPr>
        <w:t>本次公开交易的公共自行车服务点</w:t>
      </w:r>
      <w:r>
        <w:rPr>
          <w:rStyle w:val="21"/>
          <w:rFonts w:hint="eastAsia" w:cs="宋体"/>
          <w:sz w:val="21"/>
          <w:szCs w:val="21"/>
          <w:lang w:val="en-US" w:eastAsia="zh-CN"/>
        </w:rPr>
        <w:t>大牌</w:t>
      </w:r>
      <w:r>
        <w:rPr>
          <w:rStyle w:val="21"/>
          <w:rFonts w:hint="eastAsia" w:ascii="宋体" w:hAnsi="宋体" w:eastAsia="宋体" w:cs="宋体"/>
          <w:sz w:val="21"/>
          <w:szCs w:val="21"/>
        </w:rPr>
        <w:t>媒体资源在媒体资源使用权出让期间内受让方的合法使用权。</w:t>
      </w:r>
    </w:p>
    <w:p>
      <w:pPr>
        <w:pStyle w:val="17"/>
        <w:ind w:left="0" w:firstLine="420" w:firstLineChars="200"/>
        <w:rPr>
          <w:rFonts w:hint="eastAsia" w:ascii="宋体" w:hAnsi="宋体" w:eastAsia="宋体" w:cs="宋体"/>
          <w:kern w:val="0"/>
          <w:sz w:val="21"/>
          <w:szCs w:val="21"/>
        </w:rPr>
      </w:pPr>
      <w:r>
        <w:rPr>
          <w:rStyle w:val="21"/>
          <w:rFonts w:hint="eastAsia" w:ascii="宋体" w:hAnsi="宋体" w:eastAsia="宋体" w:cs="宋体"/>
          <w:sz w:val="21"/>
          <w:szCs w:val="21"/>
        </w:rPr>
        <w:t>（1</w:t>
      </w:r>
      <w:r>
        <w:rPr>
          <w:rStyle w:val="21"/>
          <w:rFonts w:hint="default" w:ascii="Times New Roman" w:hAnsi="Times New Roman" w:eastAsia="宋体" w:cs="Times New Roman"/>
          <w:sz w:val="21"/>
          <w:szCs w:val="21"/>
        </w:rPr>
        <w:t>4</w:t>
      </w:r>
      <w:r>
        <w:rPr>
          <w:rStyle w:val="21"/>
          <w:rFonts w:hint="eastAsia" w:ascii="宋体" w:hAnsi="宋体" w:eastAsia="宋体" w:cs="宋体"/>
          <w:sz w:val="21"/>
          <w:szCs w:val="21"/>
        </w:rPr>
        <w:t>）转让方与受让方的相关权利义务详见转让方提供的《</w:t>
      </w:r>
      <w:r>
        <w:rPr>
          <w:rFonts w:hint="eastAsia" w:ascii="宋体" w:hAnsi="宋体" w:eastAsia="宋体" w:cs="宋体"/>
          <w:kern w:val="0"/>
          <w:sz w:val="21"/>
          <w:szCs w:val="21"/>
        </w:rPr>
        <w:t>杭州市公共自行车服务点大牌媒体资源使用权出让合同</w:t>
      </w:r>
      <w:r>
        <w:rPr>
          <w:rStyle w:val="21"/>
          <w:rFonts w:hint="eastAsia" w:ascii="宋体" w:hAnsi="宋体" w:eastAsia="宋体" w:cs="宋体"/>
          <w:sz w:val="21"/>
          <w:szCs w:val="21"/>
        </w:rPr>
        <w:t>》文本。</w:t>
      </w:r>
    </w:p>
    <w:p>
      <w:pPr>
        <w:pStyle w:val="17"/>
        <w:ind w:left="0" w:firstLine="420" w:firstLineChars="200"/>
        <w:rPr>
          <w:rFonts w:hint="eastAsia" w:ascii="宋体" w:hAnsi="宋体" w:eastAsia="宋体" w:cs="Times New Roman"/>
          <w:kern w:val="0"/>
          <w:sz w:val="21"/>
          <w:szCs w:val="21"/>
        </w:rPr>
      </w:pPr>
      <w:r>
        <w:rPr>
          <w:rStyle w:val="19"/>
          <w:rFonts w:hint="eastAsia" w:ascii="宋体" w:hAnsi="宋体" w:eastAsia="宋体" w:cs="宋体"/>
          <w:sz w:val="21"/>
          <w:szCs w:val="21"/>
        </w:rPr>
        <w:t>4、标的的交接详见转让方提供的《杭州市公共自行车服务点大牌媒体资源使用权出让合同》（样本）。</w:t>
      </w:r>
    </w:p>
    <w:p>
      <w:pPr>
        <w:ind w:left="0" w:firstLine="420" w:firstLineChars="200"/>
        <w:rPr>
          <w:rStyle w:val="19"/>
          <w:rFonts w:hint="eastAsia" w:ascii="宋体" w:hAnsi="宋体" w:eastAsia="宋体" w:cs="宋体"/>
          <w:sz w:val="21"/>
          <w:szCs w:val="21"/>
        </w:rPr>
      </w:pPr>
      <w:r>
        <w:rPr>
          <w:rStyle w:val="19"/>
          <w:rFonts w:hint="default" w:ascii="Courier New" w:hAnsi="Courier New" w:eastAsia="宋体" w:cs="Courier New"/>
          <w:sz w:val="21"/>
          <w:szCs w:val="21"/>
        </w:rPr>
        <w:t>5</w:t>
      </w:r>
      <w:r>
        <w:rPr>
          <w:rStyle w:val="19"/>
          <w:rFonts w:hint="eastAsia" w:ascii="宋体" w:hAnsi="宋体" w:eastAsia="宋体" w:cs="宋体"/>
          <w:sz w:val="21"/>
          <w:szCs w:val="21"/>
        </w:rPr>
        <w:t>、本项目受让方须交纳的交易服务费如下：转让标的有二个及以上意向受让方报名且成交的，受让方交纳按成交总价（各年累计媒体资源使用费之和）</w:t>
      </w:r>
      <w:r>
        <w:rPr>
          <w:rStyle w:val="19"/>
          <w:rFonts w:hint="default" w:ascii="Times New Roman" w:hAnsi="Times New Roman" w:eastAsia="宋体" w:cs="Times New Roman"/>
          <w:sz w:val="21"/>
          <w:szCs w:val="21"/>
        </w:rPr>
        <w:t>2.41</w:t>
      </w:r>
      <w:r>
        <w:rPr>
          <w:rStyle w:val="19"/>
          <w:rFonts w:hint="eastAsia" w:ascii="宋体" w:hAnsi="宋体" w:eastAsia="宋体" w:cs="宋体"/>
          <w:sz w:val="21"/>
          <w:szCs w:val="21"/>
        </w:rPr>
        <w:t>%的交易服务费；转让标的只有一位意向受让方报名且成交的，受让方交纳按成交总价（各年累计媒体资源使用费之和）</w:t>
      </w:r>
      <w:r>
        <w:rPr>
          <w:rStyle w:val="19"/>
          <w:rFonts w:hint="default" w:ascii="Times New Roman" w:hAnsi="Times New Roman" w:eastAsia="宋体" w:cs="Times New Roman"/>
          <w:sz w:val="21"/>
          <w:szCs w:val="21"/>
        </w:rPr>
        <w:t>1.205</w:t>
      </w:r>
      <w:r>
        <w:rPr>
          <w:rStyle w:val="19"/>
          <w:rFonts w:hint="eastAsia" w:ascii="宋体" w:hAnsi="宋体" w:eastAsia="宋体" w:cs="宋体"/>
          <w:sz w:val="21"/>
          <w:szCs w:val="21"/>
        </w:rPr>
        <w:t>%的交易服务费。</w:t>
      </w:r>
    </w:p>
    <w:p>
      <w:pPr>
        <w:ind w:left="0" w:firstLine="420" w:firstLineChars="200"/>
        <w:rPr>
          <w:rFonts w:hint="eastAsia" w:ascii="宋体" w:hAnsi="宋体" w:eastAsia="宋体" w:cs="Times New Roman"/>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（1）意向受让方提交受让申请材料并交纳交易保证金后单方撤回受让申请的；</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（2）产生符合条件的意向受让方后，各意向受让方在竞价期间均不报价的；</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（3）在被确定为受让方后未按约定签署《杭州市公共自行车服务点大牌媒体资源使用权出让合同》的或未按约定支付履约保证金、首期媒体资源使用费、首期电力管线维护费及交易服务费的；</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（4）意向受让方未履行书面承诺事项的；</w:t>
      </w:r>
    </w:p>
    <w:p>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（5）存在其他违反交易规则情形的。</w:t>
      </w:r>
    </w:p>
    <w:p>
      <w:pPr>
        <w:ind w:left="0" w:firstLine="420" w:firstLineChars="200"/>
        <w:rPr>
          <w:rFonts w:hint="eastAsia" w:ascii="宋体" w:hAnsi="宋体" w:eastAsia="宋体" w:cs="Times New Roman"/>
          <w:kern w:val="0"/>
          <w:sz w:val="21"/>
          <w:szCs w:val="21"/>
        </w:rPr>
      </w:pP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25977"/>
    <w:multiLevelType w:val="multilevel"/>
    <w:tmpl w:val="12025977"/>
    <w:lvl w:ilvl="0" w:tentative="0">
      <w:start w:val="8"/>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3B56EA7"/>
    <w:rsid w:val="168F5C99"/>
    <w:rsid w:val="1861410A"/>
    <w:rsid w:val="1A4D26DA"/>
    <w:rsid w:val="21A71F2F"/>
    <w:rsid w:val="244C7748"/>
    <w:rsid w:val="24CD16AE"/>
    <w:rsid w:val="25EF35A9"/>
    <w:rsid w:val="26851B4D"/>
    <w:rsid w:val="26CE05E2"/>
    <w:rsid w:val="29563AA0"/>
    <w:rsid w:val="29736F63"/>
    <w:rsid w:val="2AE67843"/>
    <w:rsid w:val="2C444127"/>
    <w:rsid w:val="2C4634B4"/>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4F225CF5"/>
    <w:rsid w:val="517C315B"/>
    <w:rsid w:val="51B53AC1"/>
    <w:rsid w:val="52C04869"/>
    <w:rsid w:val="550F2213"/>
    <w:rsid w:val="552600D9"/>
    <w:rsid w:val="566C72AF"/>
    <w:rsid w:val="590B26FF"/>
    <w:rsid w:val="59597257"/>
    <w:rsid w:val="5AB50C32"/>
    <w:rsid w:val="610339B9"/>
    <w:rsid w:val="64127BB2"/>
    <w:rsid w:val="646972B1"/>
    <w:rsid w:val="65706BC6"/>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 w:val="7E8D24A4"/>
    <w:rsid w:val="7E9A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ormalIndent"/>
    <w:basedOn w:val="1"/>
    <w:qFormat/>
    <w:uiPriority w:val="0"/>
    <w:pPr>
      <w:ind w:firstLine="420"/>
    </w:pPr>
  </w:style>
  <w:style w:type="paragraph" w:customStyle="1" w:styleId="1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3">
    <w:name w:val="页眉 字符"/>
    <w:basedOn w:val="10"/>
    <w:link w:val="5"/>
    <w:semiHidden/>
    <w:qFormat/>
    <w:uiPriority w:val="99"/>
    <w:rPr>
      <w:rFonts w:ascii="Times New Roman" w:hAnsi="Times New Roman" w:eastAsia="宋体" w:cs="Times New Roman"/>
      <w:sz w:val="18"/>
      <w:szCs w:val="18"/>
    </w:rPr>
  </w:style>
  <w:style w:type="character" w:customStyle="1" w:styleId="14">
    <w:name w:val="页脚 字符"/>
    <w:basedOn w:val="10"/>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jc w:val="left"/>
    </w:pPr>
    <w:rPr>
      <w:rFonts w:hint="eastAsia" w:ascii="宋体" w:hAnsi="宋体"/>
      <w:kern w:val="0"/>
      <w:sz w:val="24"/>
    </w:rPr>
  </w:style>
  <w:style w:type="paragraph" w:customStyle="1" w:styleId="17">
    <w:name w:val="HTML 预设格式 Char1"/>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8">
    <w:name w:val="19"/>
    <w:basedOn w:val="10"/>
    <w:qFormat/>
    <w:uiPriority w:val="0"/>
    <w:rPr>
      <w:rFonts w:hint="default" w:ascii="Times New Roman" w:hAnsi="Times New Roman" w:cs="Times New Roman"/>
    </w:rPr>
  </w:style>
  <w:style w:type="character" w:customStyle="1" w:styleId="19">
    <w:name w:val="59"/>
    <w:basedOn w:val="10"/>
    <w:qFormat/>
    <w:uiPriority w:val="0"/>
    <w:rPr>
      <w:rFonts w:hint="default" w:ascii="Times New Roman" w:hAnsi="Times New Roman" w:cs="Times New Roman"/>
    </w:rPr>
  </w:style>
  <w:style w:type="character" w:customStyle="1" w:styleId="20">
    <w:name w:val="76"/>
    <w:basedOn w:val="10"/>
    <w:qFormat/>
    <w:uiPriority w:val="0"/>
    <w:rPr>
      <w:rFonts w:hint="default" w:ascii="Times New Roman" w:hAnsi="Times New Roman" w:cs="Times New Roman"/>
    </w:rPr>
  </w:style>
  <w:style w:type="character" w:customStyle="1" w:styleId="21">
    <w:name w:val="78"/>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2729</Words>
  <Characters>2796</Characters>
  <Lines>15</Lines>
  <Paragraphs>4</Paragraphs>
  <TotalTime>1</TotalTime>
  <ScaleCrop>false</ScaleCrop>
  <LinksUpToDate>false</LinksUpToDate>
  <CharactersWithSpaces>2863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2026-01-09T11:28:25Z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eyJoZGlkIjoiZDQyMTliOGFhNjFjMjMxMzk1NWU0ZWU0ZTU0OGM4MzYiLCJ1c2VySWQiOiIyODI2MTEwMTEifQ==</vt:lpwstr>
  </property>
</Properties>
</file>