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FC6799A">
      <w:pPr>
        <w:jc w:val="center"/>
        <w:rPr>
          <w:rFonts w:ascii="方正小标宋简体" w:hAnsi="方正小标宋简体" w:eastAsia="方正小标宋简体" w:cs="方正小标宋简体"/>
          <w:sz w:val="44"/>
          <w:szCs w:val="44"/>
          <w:highlight w:val="none"/>
        </w:rPr>
      </w:pPr>
      <w:r>
        <w:rPr>
          <w:rFonts w:hint="eastAsia" w:ascii="方正小标宋简体" w:hAnsi="方正小标宋简体" w:eastAsia="方正小标宋简体" w:cs="方正小标宋简体"/>
          <w:sz w:val="44"/>
          <w:szCs w:val="44"/>
          <w:highlight w:val="none"/>
        </w:rPr>
        <w:t>房屋租赁合同</w:t>
      </w:r>
    </w:p>
    <w:p w14:paraId="05AE4D0C">
      <w:pPr>
        <w:jc w:val="center"/>
        <w:rPr>
          <w:rFonts w:ascii="楷体" w:hAnsi="楷体" w:eastAsia="楷体" w:cs="楷体"/>
          <w:sz w:val="24"/>
          <w:szCs w:val="24"/>
          <w:highlight w:val="none"/>
        </w:rPr>
      </w:pPr>
      <w:r>
        <w:rPr>
          <w:rFonts w:hint="eastAsia" w:ascii="楷体" w:hAnsi="楷体" w:eastAsia="楷体" w:cs="楷体"/>
          <w:sz w:val="24"/>
          <w:szCs w:val="24"/>
          <w:highlight w:val="none"/>
          <w:lang w:eastAsia="zh-CN"/>
        </w:rPr>
        <w:t>（</w:t>
      </w:r>
      <w:r>
        <w:rPr>
          <w:rFonts w:hint="eastAsia" w:ascii="楷体" w:hAnsi="楷体" w:eastAsia="楷体" w:cs="楷体"/>
          <w:sz w:val="24"/>
          <w:szCs w:val="24"/>
          <w:highlight w:val="none"/>
          <w:lang w:val="en-US" w:eastAsia="zh-CN"/>
        </w:rPr>
        <w:t>2025年7月修订版</w:t>
      </w:r>
      <w:r>
        <w:rPr>
          <w:rFonts w:hint="eastAsia" w:ascii="楷体" w:hAnsi="楷体" w:eastAsia="楷体" w:cs="楷体"/>
          <w:sz w:val="24"/>
          <w:szCs w:val="24"/>
          <w:highlight w:val="none"/>
          <w:lang w:eastAsia="zh-CN"/>
        </w:rPr>
        <w:t>）</w:t>
      </w:r>
    </w:p>
    <w:p w14:paraId="6E527258">
      <w:pPr>
        <w:rPr>
          <w:rFonts w:hint="eastAsia" w:ascii="楷体" w:hAnsi="楷体" w:eastAsia="楷体" w:cs="楷体"/>
          <w:b/>
          <w:bCs/>
          <w:color w:val="auto"/>
          <w:sz w:val="28"/>
          <w:szCs w:val="28"/>
          <w:highlight w:val="none"/>
        </w:rPr>
      </w:pPr>
    </w:p>
    <w:p w14:paraId="56E9B2A4">
      <w:pPr>
        <w:rPr>
          <w:rFonts w:hint="default" w:ascii="楷体" w:hAnsi="楷体" w:eastAsia="楷体" w:cs="楷体"/>
          <w:color w:val="auto"/>
          <w:sz w:val="28"/>
          <w:szCs w:val="28"/>
          <w:highlight w:val="none"/>
          <w:lang w:val="en-US"/>
        </w:rPr>
      </w:pPr>
      <w:r>
        <w:rPr>
          <w:rFonts w:hint="eastAsia" w:ascii="楷体" w:hAnsi="楷体" w:eastAsia="楷体" w:cs="楷体"/>
          <w:b/>
          <w:bCs/>
          <w:color w:val="auto"/>
          <w:sz w:val="28"/>
          <w:szCs w:val="28"/>
          <w:highlight w:val="none"/>
        </w:rPr>
        <w:t>甲方：</w:t>
      </w:r>
      <w:r>
        <w:rPr>
          <w:rFonts w:hint="eastAsia" w:ascii="楷体" w:hAnsi="楷体" w:eastAsia="楷体" w:cs="楷体"/>
          <w:b/>
          <w:bCs/>
          <w:color w:val="auto"/>
          <w:sz w:val="28"/>
          <w:szCs w:val="28"/>
          <w:highlight w:val="none"/>
          <w:u w:val="single"/>
        </w:rPr>
        <w:t>杭州</w:t>
      </w:r>
      <w:r>
        <w:rPr>
          <w:rFonts w:hint="eastAsia" w:ascii="楷体" w:hAnsi="楷体" w:eastAsia="楷体" w:cs="楷体"/>
          <w:b/>
          <w:bCs/>
          <w:color w:val="auto"/>
          <w:sz w:val="28"/>
          <w:szCs w:val="28"/>
          <w:highlight w:val="none"/>
          <w:u w:val="single"/>
          <w:lang w:val="en-US" w:eastAsia="zh-CN"/>
        </w:rPr>
        <w:t>市邻居中心管理</w:t>
      </w:r>
      <w:r>
        <w:rPr>
          <w:rFonts w:hint="eastAsia" w:ascii="楷体" w:hAnsi="楷体" w:eastAsia="楷体" w:cs="楷体"/>
          <w:b/>
          <w:bCs/>
          <w:color w:val="auto"/>
          <w:sz w:val="28"/>
          <w:szCs w:val="28"/>
          <w:highlight w:val="none"/>
          <w:u w:val="single"/>
        </w:rPr>
        <w:t>有限公司</w:t>
      </w:r>
      <w:r>
        <w:rPr>
          <w:rFonts w:hint="eastAsia" w:ascii="楷体" w:hAnsi="楷体" w:eastAsia="楷体" w:cs="楷体"/>
          <w:b/>
          <w:bCs/>
          <w:color w:val="auto"/>
          <w:sz w:val="28"/>
          <w:szCs w:val="28"/>
          <w:highlight w:val="none"/>
          <w:u w:val="single"/>
          <w:lang w:val="en-US" w:eastAsia="zh-CN"/>
        </w:rPr>
        <w:t xml:space="preserve">  </w:t>
      </w:r>
      <w:r>
        <w:rPr>
          <w:rFonts w:hint="eastAsia" w:ascii="楷体" w:hAnsi="楷体" w:eastAsia="楷体" w:cs="楷体"/>
          <w:b/>
          <w:bCs/>
          <w:color w:val="auto"/>
          <w:sz w:val="28"/>
          <w:szCs w:val="28"/>
          <w:highlight w:val="none"/>
          <w:lang w:val="en-US" w:eastAsia="zh-CN"/>
        </w:rPr>
        <w:t xml:space="preserve">     </w:t>
      </w:r>
      <w:r>
        <w:rPr>
          <w:rFonts w:hint="eastAsia" w:ascii="楷体" w:hAnsi="楷体" w:eastAsia="楷体" w:cs="楷体"/>
          <w:color w:val="auto"/>
          <w:sz w:val="28"/>
          <w:szCs w:val="28"/>
          <w:highlight w:val="none"/>
          <w:lang w:val="en-US" w:eastAsia="zh-CN"/>
        </w:rPr>
        <w:t xml:space="preserve">   </w:t>
      </w:r>
    </w:p>
    <w:p w14:paraId="05715F31">
      <w:pPr>
        <w:rPr>
          <w:rFonts w:hint="default" w:ascii="楷体" w:hAnsi="楷体" w:eastAsia="楷体" w:cs="楷体"/>
          <w:color w:val="auto"/>
          <w:sz w:val="28"/>
          <w:szCs w:val="28"/>
          <w:highlight w:val="none"/>
          <w:lang w:val="en-US" w:eastAsia="zh-CN"/>
        </w:rPr>
      </w:pPr>
      <w:r>
        <w:rPr>
          <w:rFonts w:hint="eastAsia" w:ascii="楷体" w:hAnsi="楷体" w:eastAsia="楷体" w:cs="楷体"/>
          <w:color w:val="auto"/>
          <w:sz w:val="28"/>
          <w:szCs w:val="28"/>
          <w:highlight w:val="none"/>
        </w:rPr>
        <w:t>联系人员：</w:t>
      </w:r>
      <w:r>
        <w:rPr>
          <w:rFonts w:ascii="楷体" w:hAnsi="楷体" w:eastAsia="楷体" w:cs="楷体"/>
          <w:color w:val="auto"/>
          <w:sz w:val="28"/>
          <w:szCs w:val="28"/>
          <w:highlight w:val="none"/>
        </w:rPr>
        <w:t xml:space="preserve">              </w:t>
      </w:r>
      <w:r>
        <w:rPr>
          <w:rFonts w:hint="eastAsia" w:ascii="楷体" w:hAnsi="楷体" w:eastAsia="楷体" w:cs="楷体"/>
          <w:color w:val="auto"/>
          <w:sz w:val="28"/>
          <w:szCs w:val="28"/>
          <w:highlight w:val="none"/>
        </w:rPr>
        <w:t>联系电话：</w:t>
      </w:r>
      <w:r>
        <w:rPr>
          <w:rFonts w:hint="eastAsia" w:ascii="楷体" w:hAnsi="楷体" w:eastAsia="楷体" w:cs="楷体"/>
          <w:color w:val="auto"/>
          <w:sz w:val="28"/>
          <w:szCs w:val="28"/>
          <w:highlight w:val="none"/>
          <w:lang w:val="en-US" w:eastAsia="zh-CN"/>
        </w:rPr>
        <w:t>0571-89711134</w:t>
      </w:r>
    </w:p>
    <w:p w14:paraId="5E9B8282">
      <w:pPr>
        <w:rPr>
          <w:rFonts w:hint="default" w:ascii="楷体" w:hAnsi="楷体" w:eastAsia="楷体" w:cs="楷体"/>
          <w:color w:val="auto"/>
          <w:sz w:val="28"/>
          <w:szCs w:val="28"/>
          <w:highlight w:val="none"/>
          <w:lang w:val="en-US" w:eastAsia="zh-CN"/>
        </w:rPr>
      </w:pPr>
      <w:r>
        <w:rPr>
          <w:rFonts w:hint="eastAsia" w:ascii="楷体" w:hAnsi="楷体" w:eastAsia="楷体" w:cs="楷体"/>
          <w:color w:val="auto"/>
          <w:sz w:val="28"/>
          <w:szCs w:val="28"/>
          <w:highlight w:val="none"/>
        </w:rPr>
        <w:t>联系地址：</w:t>
      </w:r>
      <w:r>
        <w:rPr>
          <w:rFonts w:hint="eastAsia" w:ascii="楷体" w:hAnsi="楷体" w:eastAsia="楷体" w:cs="楷体"/>
          <w:color w:val="auto"/>
          <w:sz w:val="28"/>
          <w:szCs w:val="28"/>
          <w:highlight w:val="none"/>
          <w:u w:val="single"/>
          <w:lang w:val="en-US" w:eastAsia="zh-CN"/>
        </w:rPr>
        <w:t>杭州市上城区婺江路319号蕙沣大厦16楼</w:t>
      </w:r>
    </w:p>
    <w:p w14:paraId="29123A01">
      <w:pPr>
        <w:jc w:val="left"/>
        <w:rPr>
          <w:rFonts w:hint="eastAsia" w:ascii="楷体" w:hAnsi="楷体" w:eastAsia="楷体" w:cs="楷体"/>
          <w:b/>
          <w:bCs/>
          <w:color w:val="auto"/>
          <w:sz w:val="28"/>
          <w:szCs w:val="28"/>
          <w:highlight w:val="none"/>
        </w:rPr>
      </w:pPr>
    </w:p>
    <w:p w14:paraId="514A2018">
      <w:pPr>
        <w:jc w:val="left"/>
        <w:rPr>
          <w:rFonts w:hint="eastAsia" w:ascii="楷体" w:hAnsi="楷体" w:eastAsia="楷体" w:cs="楷体"/>
          <w:b/>
          <w:bCs/>
          <w:color w:val="auto"/>
          <w:sz w:val="28"/>
          <w:szCs w:val="28"/>
          <w:highlight w:val="none"/>
          <w:u w:val="single"/>
          <w:lang w:val="en-US" w:eastAsia="zh-CN"/>
        </w:rPr>
      </w:pPr>
      <w:r>
        <w:rPr>
          <w:rFonts w:hint="eastAsia" w:ascii="楷体" w:hAnsi="楷体" w:eastAsia="楷体" w:cs="楷体"/>
          <w:b/>
          <w:bCs/>
          <w:color w:val="auto"/>
          <w:sz w:val="28"/>
          <w:szCs w:val="28"/>
          <w:highlight w:val="none"/>
        </w:rPr>
        <w:t>乙方：</w:t>
      </w:r>
      <w:r>
        <w:rPr>
          <w:rFonts w:hint="eastAsia" w:ascii="楷体" w:hAnsi="楷体" w:eastAsia="楷体" w:cs="楷体"/>
          <w:b/>
          <w:bCs/>
          <w:color w:val="auto"/>
          <w:sz w:val="28"/>
          <w:szCs w:val="28"/>
          <w:highlight w:val="none"/>
          <w:u w:val="single"/>
          <w:lang w:val="en-US" w:eastAsia="zh-CN"/>
        </w:rPr>
        <w:t xml:space="preserve">                          </w:t>
      </w:r>
    </w:p>
    <w:p w14:paraId="67C3A5D7">
      <w:pPr>
        <w:jc w:val="left"/>
        <w:rPr>
          <w:rFonts w:hint="default" w:ascii="楷体" w:hAnsi="楷体" w:eastAsia="宋体" w:cs="楷体"/>
          <w:b/>
          <w:bCs/>
          <w:color w:val="auto"/>
          <w:sz w:val="28"/>
          <w:szCs w:val="28"/>
          <w:highlight w:val="none"/>
          <w:u w:val="single"/>
          <w:lang w:val="en-US" w:eastAsia="zh-CN"/>
        </w:rPr>
      </w:pPr>
      <w:r>
        <w:rPr>
          <w:rFonts w:hint="eastAsia" w:ascii="楷体" w:hAnsi="楷体" w:eastAsia="楷体" w:cs="楷体"/>
          <w:b/>
          <w:bCs/>
          <w:color w:val="auto"/>
          <w:sz w:val="28"/>
          <w:szCs w:val="28"/>
          <w:highlight w:val="none"/>
          <w:u w:val="single"/>
          <w:lang w:val="en-US" w:eastAsia="zh-CN"/>
        </w:rPr>
        <w:t>证件号码（统一社会信用代码/身份证号）：</w:t>
      </w:r>
      <w:r>
        <w:rPr>
          <w:rFonts w:hint="eastAsia"/>
          <w:highlight w:val="none"/>
          <w:lang w:val="en-US" w:eastAsia="zh-CN"/>
        </w:rPr>
        <w:t xml:space="preserve"> </w:t>
      </w:r>
      <w:r>
        <w:rPr>
          <w:rFonts w:hint="eastAsia"/>
          <w:highlight w:val="none"/>
          <w:u w:val="single"/>
          <w:lang w:val="en-US" w:eastAsia="zh-CN"/>
        </w:rPr>
        <w:t xml:space="preserve">                   </w:t>
      </w:r>
    </w:p>
    <w:p w14:paraId="0C3E393E">
      <w:pPr>
        <w:rPr>
          <w:rFonts w:hint="default" w:ascii="楷体" w:hAnsi="楷体" w:eastAsia="楷体" w:cs="楷体"/>
          <w:color w:val="auto"/>
          <w:sz w:val="28"/>
          <w:szCs w:val="28"/>
          <w:highlight w:val="none"/>
          <w:lang w:val="en-US" w:eastAsia="zh-CN"/>
        </w:rPr>
      </w:pPr>
      <w:r>
        <w:rPr>
          <w:rFonts w:hint="eastAsia" w:ascii="楷体" w:hAnsi="楷体" w:eastAsia="楷体" w:cs="楷体"/>
          <w:color w:val="auto"/>
          <w:sz w:val="28"/>
          <w:szCs w:val="28"/>
          <w:highlight w:val="none"/>
        </w:rPr>
        <w:t>联系人员：</w:t>
      </w:r>
      <w:r>
        <w:rPr>
          <w:rFonts w:ascii="楷体" w:hAnsi="楷体" w:eastAsia="楷体" w:cs="楷体"/>
          <w:color w:val="auto"/>
          <w:sz w:val="28"/>
          <w:szCs w:val="28"/>
          <w:highlight w:val="none"/>
          <w:u w:val="single"/>
        </w:rPr>
        <w:t xml:space="preserve">          </w:t>
      </w:r>
      <w:r>
        <w:rPr>
          <w:rFonts w:hint="eastAsia" w:ascii="楷体" w:hAnsi="楷体" w:eastAsia="楷体" w:cs="楷体"/>
          <w:color w:val="auto"/>
          <w:sz w:val="28"/>
          <w:szCs w:val="28"/>
          <w:highlight w:val="none"/>
          <w:u w:val="single"/>
          <w:lang w:val="en-US" w:eastAsia="zh-CN"/>
        </w:rPr>
        <w:t xml:space="preserve"> </w:t>
      </w:r>
      <w:r>
        <w:rPr>
          <w:rFonts w:hint="eastAsia" w:ascii="楷体" w:hAnsi="楷体" w:eastAsia="楷体" w:cs="楷体"/>
          <w:color w:val="auto"/>
          <w:sz w:val="28"/>
          <w:szCs w:val="28"/>
          <w:highlight w:val="none"/>
          <w:lang w:val="en-US" w:eastAsia="zh-CN"/>
        </w:rPr>
        <w:t xml:space="preserve">            </w:t>
      </w:r>
      <w:r>
        <w:rPr>
          <w:rFonts w:hint="eastAsia" w:ascii="楷体" w:hAnsi="楷体" w:eastAsia="楷体" w:cs="楷体"/>
          <w:color w:val="auto"/>
          <w:sz w:val="28"/>
          <w:szCs w:val="28"/>
          <w:highlight w:val="none"/>
        </w:rPr>
        <w:t>联系电话：</w:t>
      </w:r>
      <w:r>
        <w:rPr>
          <w:rFonts w:hint="eastAsia" w:ascii="楷体" w:hAnsi="楷体" w:eastAsia="楷体" w:cs="楷体"/>
          <w:color w:val="auto"/>
          <w:sz w:val="28"/>
          <w:szCs w:val="28"/>
          <w:highlight w:val="none"/>
          <w:lang w:val="en-US" w:eastAsia="zh-CN"/>
        </w:rPr>
        <w:t xml:space="preserve"> </w:t>
      </w:r>
      <w:r>
        <w:rPr>
          <w:rFonts w:hint="eastAsia" w:ascii="楷体" w:hAnsi="楷体" w:eastAsia="楷体" w:cs="楷体"/>
          <w:color w:val="auto"/>
          <w:sz w:val="28"/>
          <w:szCs w:val="28"/>
          <w:highlight w:val="none"/>
          <w:u w:val="single"/>
          <w:lang w:val="en-US" w:eastAsia="zh-CN"/>
        </w:rPr>
        <w:t xml:space="preserve">            </w:t>
      </w:r>
      <w:r>
        <w:rPr>
          <w:rFonts w:hint="eastAsia" w:ascii="楷体" w:hAnsi="楷体" w:eastAsia="楷体" w:cs="楷体"/>
          <w:color w:val="auto"/>
          <w:sz w:val="28"/>
          <w:szCs w:val="28"/>
          <w:highlight w:val="none"/>
          <w:lang w:val="en-US" w:eastAsia="zh-CN"/>
        </w:rPr>
        <w:t xml:space="preserve">   </w:t>
      </w:r>
    </w:p>
    <w:p w14:paraId="2FE6580F">
      <w:pPr>
        <w:rPr>
          <w:rFonts w:hint="default" w:ascii="楷体" w:hAnsi="楷体" w:eastAsia="楷体" w:cs="楷体"/>
          <w:color w:val="auto"/>
          <w:sz w:val="28"/>
          <w:szCs w:val="28"/>
          <w:highlight w:val="none"/>
          <w:lang w:val="en-US" w:eastAsia="zh-CN"/>
        </w:rPr>
      </w:pPr>
      <w:r>
        <w:rPr>
          <w:rFonts w:hint="eastAsia" w:ascii="楷体" w:hAnsi="楷体" w:eastAsia="楷体" w:cs="楷体"/>
          <w:color w:val="auto"/>
          <w:sz w:val="28"/>
          <w:szCs w:val="28"/>
          <w:highlight w:val="none"/>
        </w:rPr>
        <w:t>联系地址：</w:t>
      </w:r>
      <w:r>
        <w:rPr>
          <w:rFonts w:hint="eastAsia" w:ascii="楷体" w:hAnsi="楷体" w:eastAsia="楷体" w:cs="楷体"/>
          <w:color w:val="auto"/>
          <w:sz w:val="28"/>
          <w:szCs w:val="28"/>
          <w:highlight w:val="none"/>
          <w:u w:val="single"/>
          <w:lang w:val="en-US" w:eastAsia="zh-CN"/>
        </w:rPr>
        <w:t xml:space="preserve">                                  </w:t>
      </w:r>
    </w:p>
    <w:p w14:paraId="00D23141">
      <w:pPr>
        <w:rPr>
          <w:rFonts w:ascii="楷体" w:hAnsi="楷体" w:eastAsia="楷体" w:cs="楷体"/>
          <w:color w:val="auto"/>
          <w:sz w:val="28"/>
          <w:szCs w:val="28"/>
          <w:highlight w:val="none"/>
        </w:rPr>
      </w:pPr>
    </w:p>
    <w:p w14:paraId="34A1D239">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甲、乙双方本着自愿、平等、公平和诚实信用原则，经过充分友好协商，就乙方租赁甲方物业，并将其用于约定用途的相关事宜，签订如下合同，以兹共同遵守。</w:t>
      </w:r>
    </w:p>
    <w:p w14:paraId="743AE4EA">
      <w:pPr>
        <w:rPr>
          <w:rFonts w:ascii="楷体" w:hAnsi="楷体" w:eastAsia="楷体" w:cs="楷体"/>
          <w:color w:val="auto"/>
          <w:sz w:val="28"/>
          <w:szCs w:val="28"/>
          <w:highlight w:val="none"/>
        </w:rPr>
      </w:pPr>
    </w:p>
    <w:p w14:paraId="54EB7E1F">
      <w:pPr>
        <w:ind w:firstLine="560" w:firstLineChars="200"/>
        <w:rPr>
          <w:rFonts w:ascii="楷体" w:hAnsi="楷体" w:eastAsia="楷体" w:cs="楷体"/>
          <w:color w:val="auto"/>
          <w:sz w:val="24"/>
          <w:szCs w:val="24"/>
          <w:highlight w:val="none"/>
        </w:rPr>
      </w:pPr>
      <w:r>
        <w:rPr>
          <w:rFonts w:hint="eastAsia" w:ascii="楷体" w:hAnsi="楷体" w:eastAsia="楷体" w:cs="楷体"/>
          <w:color w:val="auto"/>
          <w:sz w:val="28"/>
          <w:szCs w:val="28"/>
          <w:highlight w:val="none"/>
        </w:rPr>
        <w:t>第一条</w:t>
      </w:r>
      <w:r>
        <w:rPr>
          <w:rFonts w:hint="eastAsia" w:ascii="楷体" w:hAnsi="楷体" w:eastAsia="楷体" w:cs="楷体"/>
          <w:color w:val="auto"/>
          <w:sz w:val="28"/>
          <w:szCs w:val="28"/>
          <w:highlight w:val="none"/>
        </w:rPr>
        <w:tab/>
      </w:r>
      <w:r>
        <w:rPr>
          <w:rFonts w:hint="eastAsia" w:ascii="楷体" w:hAnsi="楷体" w:eastAsia="楷体" w:cs="楷体"/>
          <w:color w:val="auto"/>
          <w:sz w:val="28"/>
          <w:szCs w:val="28"/>
          <w:highlight w:val="none"/>
        </w:rPr>
        <w:t>出租物业与年限</w:t>
      </w:r>
    </w:p>
    <w:p w14:paraId="5EDAA461">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1.1 甲方将坐落</w:t>
      </w:r>
      <w:r>
        <w:rPr>
          <w:rFonts w:hint="eastAsia" w:ascii="楷体" w:hAnsi="楷体" w:eastAsia="楷体" w:cs="楷体"/>
          <w:color w:val="auto"/>
          <w:sz w:val="28"/>
          <w:szCs w:val="28"/>
          <w:highlight w:val="none"/>
          <w:lang w:val="en-US" w:eastAsia="zh-CN"/>
        </w:rPr>
        <w:t xml:space="preserve"> </w:t>
      </w:r>
      <w:r>
        <w:rPr>
          <w:rFonts w:hint="eastAsia" w:ascii="楷体" w:hAnsi="楷体" w:eastAsia="楷体" w:cs="楷体"/>
          <w:color w:val="auto"/>
          <w:sz w:val="28"/>
          <w:szCs w:val="28"/>
          <w:highlight w:val="none"/>
          <w:u w:val="single"/>
          <w:lang w:val="en-US" w:eastAsia="zh-CN"/>
        </w:rPr>
        <w:t xml:space="preserve">                 </w:t>
      </w:r>
      <w:r>
        <w:rPr>
          <w:rFonts w:hint="eastAsia" w:ascii="楷体" w:hAnsi="楷体" w:eastAsia="楷体" w:cs="楷体"/>
          <w:color w:val="auto"/>
          <w:sz w:val="28"/>
          <w:szCs w:val="28"/>
          <w:highlight w:val="none"/>
          <w:lang w:val="en-US" w:eastAsia="zh-CN"/>
        </w:rPr>
        <w:t xml:space="preserve"> </w:t>
      </w:r>
      <w:r>
        <w:rPr>
          <w:rFonts w:hint="eastAsia" w:ascii="楷体" w:hAnsi="楷体" w:eastAsia="楷体" w:cs="楷体"/>
          <w:color w:val="auto"/>
          <w:sz w:val="28"/>
          <w:szCs w:val="28"/>
          <w:highlight w:val="none"/>
        </w:rPr>
        <w:t>（以下简称</w:t>
      </w:r>
      <w:r>
        <w:rPr>
          <w:rFonts w:hint="eastAsia" w:ascii="楷体" w:hAnsi="楷体" w:eastAsia="楷体" w:cs="楷体"/>
          <w:color w:val="auto"/>
          <w:sz w:val="28"/>
          <w:szCs w:val="28"/>
          <w:highlight w:val="none"/>
          <w:lang w:eastAsia="zh-CN"/>
        </w:rPr>
        <w:t>“</w:t>
      </w:r>
      <w:r>
        <w:rPr>
          <w:rFonts w:hint="eastAsia" w:ascii="楷体" w:hAnsi="楷体" w:eastAsia="楷体" w:cs="楷体"/>
          <w:color w:val="auto"/>
          <w:sz w:val="28"/>
          <w:szCs w:val="28"/>
          <w:highlight w:val="none"/>
        </w:rPr>
        <w:t>该物业</w:t>
      </w:r>
      <w:r>
        <w:rPr>
          <w:rFonts w:hint="eastAsia" w:ascii="楷体" w:hAnsi="楷体" w:eastAsia="楷体" w:cs="楷体"/>
          <w:color w:val="auto"/>
          <w:sz w:val="28"/>
          <w:szCs w:val="28"/>
          <w:highlight w:val="none"/>
          <w:lang w:eastAsia="zh-CN"/>
        </w:rPr>
        <w:t>”</w:t>
      </w:r>
      <w:r>
        <w:rPr>
          <w:rFonts w:hint="eastAsia" w:ascii="楷体" w:hAnsi="楷体" w:eastAsia="楷体" w:cs="楷体"/>
          <w:color w:val="auto"/>
          <w:sz w:val="28"/>
          <w:szCs w:val="28"/>
          <w:highlight w:val="none"/>
        </w:rPr>
        <w:t>）出租给乙方使用。该物业的建筑面积为</w:t>
      </w:r>
      <w:r>
        <w:rPr>
          <w:rFonts w:hint="eastAsia" w:ascii="楷体" w:hAnsi="楷体" w:eastAsia="楷体" w:cs="楷体"/>
          <w:color w:val="auto"/>
          <w:sz w:val="28"/>
          <w:szCs w:val="28"/>
          <w:highlight w:val="none"/>
          <w:u w:val="single"/>
        </w:rPr>
        <w:t xml:space="preserve">    </w:t>
      </w:r>
      <w:r>
        <w:rPr>
          <w:rFonts w:hint="eastAsia" w:ascii="楷体" w:hAnsi="楷体" w:eastAsia="楷体" w:cs="楷体"/>
          <w:color w:val="auto"/>
          <w:sz w:val="28"/>
          <w:szCs w:val="28"/>
          <w:highlight w:val="none"/>
        </w:rPr>
        <w:t>平方米。双方确认：本合同中填写的建筑面积为不动产登记证（或房产证）未取得前的实际面积，不动产登记证取得后如产权登记的建筑面积与实际建筑面积不一致的，仍以上述实际面积作为计租标准计算租金，租赁期限内不再调整。</w:t>
      </w:r>
    </w:p>
    <w:p w14:paraId="3EC4DF2F">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1.2 在租赁期限内，乙方有权根据其正常经营需要与该物业区域中的所有其他租户和自营业主共同、平等地使用区域内的公共部分，包括但不限于楼梯、通道等，但甲方及物业管理单位有权根据实际情况对公共部分的使用予以合理的临时限制。</w:t>
      </w:r>
    </w:p>
    <w:p w14:paraId="34D11E29">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 xml:space="preserve">1.3 该物业的现有装修及设施情况即为交付状态，由双方在合同附件中加以列明；乙方已经实际察看了该物业的现有装修及设施情况，认可其满足约定的交付条件。乙方确认甲方的物业，可以满足乙方所需的经营条件和内容，乙方认可并认同交付。除双方另有约定，该附件将作为乙方在本合同终止后交还该物业时的验收依据。 </w:t>
      </w:r>
    </w:p>
    <w:p w14:paraId="1FB7D9F3">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1.4 本合同租赁期限为</w:t>
      </w:r>
      <w:r>
        <w:rPr>
          <w:rFonts w:hint="eastAsia" w:ascii="楷体" w:hAnsi="楷体" w:eastAsia="楷体" w:cs="楷体"/>
          <w:color w:val="auto"/>
          <w:sz w:val="28"/>
          <w:szCs w:val="28"/>
          <w:highlight w:val="none"/>
          <w:u w:val="single"/>
        </w:rPr>
        <w:t xml:space="preserve">  </w:t>
      </w:r>
      <w:r>
        <w:rPr>
          <w:rFonts w:hint="eastAsia" w:ascii="楷体" w:hAnsi="楷体" w:eastAsia="楷体" w:cs="楷体"/>
          <w:color w:val="auto"/>
          <w:sz w:val="28"/>
          <w:szCs w:val="28"/>
          <w:highlight w:val="none"/>
        </w:rPr>
        <w:t>年。租赁期自</w:t>
      </w:r>
      <w:r>
        <w:rPr>
          <w:rFonts w:hint="eastAsia" w:ascii="楷体" w:hAnsi="楷体" w:eastAsia="楷体" w:cs="楷体"/>
          <w:color w:val="auto"/>
          <w:sz w:val="28"/>
          <w:szCs w:val="28"/>
          <w:highlight w:val="none"/>
          <w:u w:val="single"/>
          <w:lang w:val="en-US" w:eastAsia="zh-CN"/>
        </w:rPr>
        <w:t xml:space="preserve">   年  月  日</w:t>
      </w:r>
      <w:r>
        <w:rPr>
          <w:rFonts w:hint="eastAsia" w:ascii="楷体" w:hAnsi="楷体" w:eastAsia="楷体" w:cs="楷体"/>
          <w:color w:val="auto"/>
          <w:sz w:val="28"/>
          <w:szCs w:val="28"/>
          <w:highlight w:val="none"/>
        </w:rPr>
        <w:t>起至</w:t>
      </w:r>
      <w:r>
        <w:rPr>
          <w:rFonts w:hint="eastAsia" w:ascii="楷体" w:hAnsi="楷体" w:eastAsia="楷体" w:cs="楷体"/>
          <w:color w:val="auto"/>
          <w:sz w:val="28"/>
          <w:szCs w:val="28"/>
          <w:highlight w:val="none"/>
          <w:u w:val="single"/>
        </w:rPr>
        <w:t xml:space="preserve">     </w:t>
      </w:r>
      <w:r>
        <w:rPr>
          <w:rFonts w:hint="eastAsia" w:ascii="楷体" w:hAnsi="楷体" w:eastAsia="楷体" w:cs="楷体"/>
          <w:color w:val="auto"/>
          <w:sz w:val="28"/>
          <w:szCs w:val="28"/>
          <w:highlight w:val="none"/>
          <w:u w:val="single"/>
          <w:lang w:val="en-US" w:eastAsia="zh-CN"/>
        </w:rPr>
        <w:t xml:space="preserve"> 年   月    日</w:t>
      </w:r>
      <w:r>
        <w:rPr>
          <w:rFonts w:hint="eastAsia" w:ascii="楷体" w:hAnsi="楷体" w:eastAsia="楷体" w:cs="楷体"/>
          <w:color w:val="auto"/>
          <w:sz w:val="28"/>
          <w:szCs w:val="28"/>
          <w:highlight w:val="none"/>
        </w:rPr>
        <w:t>止（装修期</w:t>
      </w:r>
      <w:r>
        <w:rPr>
          <w:rFonts w:hint="eastAsia" w:ascii="楷体" w:hAnsi="楷体" w:eastAsia="楷体" w:cs="楷体"/>
          <w:color w:val="auto"/>
          <w:sz w:val="28"/>
          <w:szCs w:val="28"/>
          <w:highlight w:val="none"/>
          <w:u w:val="single"/>
        </w:rPr>
        <w:t xml:space="preserve"> </w:t>
      </w:r>
      <w:r>
        <w:rPr>
          <w:rFonts w:hint="eastAsia" w:ascii="楷体" w:hAnsi="楷体" w:eastAsia="楷体" w:cs="楷体"/>
          <w:color w:val="auto"/>
          <w:sz w:val="28"/>
          <w:szCs w:val="28"/>
          <w:highlight w:val="none"/>
          <w:u w:val="single"/>
          <w:lang w:val="en-US" w:eastAsia="zh-CN"/>
        </w:rPr>
        <w:t>/</w:t>
      </w:r>
      <w:r>
        <w:rPr>
          <w:rFonts w:hint="eastAsia" w:ascii="楷体" w:hAnsi="楷体" w:eastAsia="楷体" w:cs="楷体"/>
          <w:color w:val="auto"/>
          <w:sz w:val="28"/>
          <w:szCs w:val="28"/>
          <w:highlight w:val="none"/>
          <w:u w:val="single"/>
        </w:rPr>
        <w:t xml:space="preserve"> </w:t>
      </w:r>
      <w:r>
        <w:rPr>
          <w:rFonts w:hint="eastAsia" w:ascii="楷体" w:hAnsi="楷体" w:eastAsia="楷体" w:cs="楷体"/>
          <w:color w:val="auto"/>
          <w:sz w:val="28"/>
          <w:szCs w:val="28"/>
          <w:highlight w:val="none"/>
        </w:rPr>
        <w:t>日止）。</w:t>
      </w:r>
    </w:p>
    <w:p w14:paraId="31DC3FEE">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第二条</w:t>
      </w:r>
      <w:r>
        <w:rPr>
          <w:rFonts w:hint="eastAsia" w:ascii="楷体" w:hAnsi="楷体" w:eastAsia="楷体" w:cs="楷体"/>
          <w:color w:val="auto"/>
          <w:sz w:val="28"/>
          <w:szCs w:val="28"/>
          <w:highlight w:val="none"/>
        </w:rPr>
        <w:tab/>
      </w:r>
      <w:r>
        <w:rPr>
          <w:rFonts w:hint="eastAsia" w:ascii="楷体" w:hAnsi="楷体" w:eastAsia="楷体" w:cs="楷体"/>
          <w:color w:val="auto"/>
          <w:sz w:val="28"/>
          <w:szCs w:val="28"/>
          <w:highlight w:val="none"/>
        </w:rPr>
        <w:t>物业用途</w:t>
      </w:r>
      <w:bookmarkStart w:id="1" w:name="_GoBack"/>
      <w:bookmarkEnd w:id="1"/>
    </w:p>
    <w:p w14:paraId="4C8A008E">
      <w:pPr>
        <w:ind w:firstLine="560" w:firstLineChars="200"/>
        <w:rPr>
          <w:rFonts w:hint="default" w:ascii="楷体" w:hAnsi="楷体" w:eastAsia="楷体" w:cs="楷体"/>
          <w:color w:val="auto"/>
          <w:sz w:val="28"/>
          <w:szCs w:val="28"/>
          <w:highlight w:val="none"/>
          <w:lang w:val="en-US" w:eastAsia="zh-CN"/>
        </w:rPr>
      </w:pPr>
      <w:r>
        <w:rPr>
          <w:rFonts w:hint="eastAsia" w:ascii="楷体" w:hAnsi="楷体" w:eastAsia="楷体" w:cs="楷体"/>
          <w:color w:val="auto"/>
          <w:sz w:val="28"/>
          <w:szCs w:val="28"/>
          <w:highlight w:val="none"/>
        </w:rPr>
        <w:t xml:space="preserve">2.1 </w:t>
      </w:r>
      <w:r>
        <w:rPr>
          <w:rFonts w:hint="eastAsia" w:ascii="楷体" w:hAnsi="楷体" w:eastAsia="楷体" w:cs="楷体"/>
          <w:color w:val="auto"/>
          <w:sz w:val="28"/>
          <w:szCs w:val="28"/>
          <w:highlight w:val="none"/>
          <w:lang w:val="en-US" w:eastAsia="zh-CN"/>
        </w:rPr>
        <w:t>乙方明确：乙方已知悉并接受租赁房屋的规划用途、产权情况、性质等限制条件，在承租该物业前已对</w:t>
      </w:r>
      <w:r>
        <w:rPr>
          <w:rFonts w:hint="eastAsia" w:ascii="楷体" w:hAnsi="楷体" w:eastAsia="楷体" w:cs="楷体"/>
          <w:color w:val="auto"/>
          <w:sz w:val="28"/>
          <w:szCs w:val="28"/>
          <w:highlight w:val="none"/>
        </w:rPr>
        <w:t>房屋质量、坐落、现状、面积</w:t>
      </w:r>
      <w:r>
        <w:rPr>
          <w:rFonts w:hint="eastAsia" w:ascii="楷体" w:hAnsi="楷体" w:eastAsia="楷体" w:cs="楷体"/>
          <w:color w:val="auto"/>
          <w:sz w:val="28"/>
          <w:szCs w:val="28"/>
          <w:highlight w:val="none"/>
          <w:lang w:eastAsia="zh-CN"/>
        </w:rPr>
        <w:t>、</w:t>
      </w:r>
      <w:r>
        <w:rPr>
          <w:rFonts w:hint="eastAsia" w:ascii="楷体" w:hAnsi="楷体" w:eastAsia="楷体" w:cs="楷体"/>
          <w:color w:val="auto"/>
          <w:sz w:val="28"/>
          <w:szCs w:val="28"/>
          <w:highlight w:val="none"/>
          <w:lang w:val="en-US" w:eastAsia="zh-CN"/>
        </w:rPr>
        <w:t>具体设计、</w:t>
      </w:r>
      <w:r>
        <w:rPr>
          <w:rFonts w:hint="eastAsia" w:ascii="楷体" w:hAnsi="楷体" w:eastAsia="楷体" w:cs="楷体"/>
          <w:color w:val="auto"/>
          <w:sz w:val="28"/>
          <w:szCs w:val="28"/>
          <w:highlight w:val="none"/>
        </w:rPr>
        <w:t>具体位置</w:t>
      </w:r>
      <w:r>
        <w:rPr>
          <w:rFonts w:hint="eastAsia" w:ascii="楷体" w:hAnsi="楷体" w:eastAsia="楷体" w:cs="楷体"/>
          <w:color w:val="auto"/>
          <w:sz w:val="28"/>
          <w:szCs w:val="28"/>
          <w:highlight w:val="none"/>
          <w:lang w:val="en-US" w:eastAsia="zh-CN"/>
        </w:rPr>
        <w:t>及周围环境</w:t>
      </w:r>
      <w:r>
        <w:rPr>
          <w:rFonts w:hint="eastAsia" w:ascii="楷体" w:hAnsi="楷体" w:eastAsia="楷体" w:cs="楷体"/>
          <w:color w:val="auto"/>
          <w:sz w:val="28"/>
          <w:szCs w:val="28"/>
          <w:highlight w:val="none"/>
        </w:rPr>
        <w:t>等进行了核对且予以确认，</w:t>
      </w:r>
      <w:r>
        <w:rPr>
          <w:rFonts w:hint="eastAsia" w:ascii="楷体" w:hAnsi="楷体" w:eastAsia="楷体" w:cs="楷体"/>
          <w:color w:val="auto"/>
          <w:sz w:val="28"/>
          <w:szCs w:val="28"/>
          <w:highlight w:val="none"/>
          <w:lang w:val="en-US" w:eastAsia="zh-CN"/>
        </w:rPr>
        <w:t>已提前对该物业</w:t>
      </w:r>
      <w:r>
        <w:rPr>
          <w:rFonts w:hint="eastAsia" w:ascii="楷体" w:hAnsi="楷体" w:eastAsia="楷体" w:cs="楷体"/>
          <w:color w:val="auto"/>
          <w:sz w:val="28"/>
          <w:szCs w:val="28"/>
          <w:highlight w:val="none"/>
        </w:rPr>
        <w:t>现场踏勘后知悉该物业招商业态为除属地政府及相关职能部门明令禁止经营的业态外，其余业态</w:t>
      </w:r>
      <w:r>
        <w:rPr>
          <w:rFonts w:hint="eastAsia" w:ascii="楷体" w:hAnsi="楷体" w:eastAsia="楷体" w:cs="楷体"/>
          <w:color w:val="auto"/>
          <w:sz w:val="28"/>
          <w:szCs w:val="28"/>
          <w:highlight w:val="none"/>
          <w:lang w:val="en-US" w:eastAsia="zh-CN"/>
        </w:rPr>
        <w:t>需</w:t>
      </w:r>
      <w:r>
        <w:rPr>
          <w:rFonts w:hint="eastAsia" w:ascii="楷体" w:hAnsi="楷体" w:eastAsia="楷体" w:cs="楷体"/>
          <w:color w:val="auto"/>
          <w:sz w:val="28"/>
          <w:szCs w:val="28"/>
          <w:highlight w:val="none"/>
        </w:rPr>
        <w:t>经行政审批</w:t>
      </w:r>
      <w:r>
        <w:rPr>
          <w:rFonts w:hint="eastAsia" w:ascii="楷体" w:hAnsi="楷体" w:eastAsia="楷体" w:cs="楷体"/>
          <w:color w:val="auto"/>
          <w:sz w:val="28"/>
          <w:szCs w:val="28"/>
          <w:highlight w:val="none"/>
          <w:lang w:val="en-US" w:eastAsia="zh-CN"/>
        </w:rPr>
        <w:t>通过</w:t>
      </w:r>
      <w:r>
        <w:rPr>
          <w:rFonts w:hint="eastAsia" w:ascii="楷体" w:hAnsi="楷体" w:eastAsia="楷体" w:cs="楷体"/>
          <w:color w:val="auto"/>
          <w:sz w:val="28"/>
          <w:szCs w:val="28"/>
          <w:highlight w:val="none"/>
        </w:rPr>
        <w:t>后均可经营，其他经营项目以法律法规的规定以及有关部门审批同意为准。</w:t>
      </w:r>
      <w:r>
        <w:rPr>
          <w:rFonts w:hint="eastAsia" w:ascii="楷体" w:hAnsi="楷体" w:eastAsia="楷体" w:cs="楷体"/>
          <w:color w:val="FF0000"/>
          <w:sz w:val="28"/>
          <w:szCs w:val="28"/>
          <w:highlight w:val="none"/>
          <w:lang w:val="en-US" w:eastAsia="zh-CN"/>
        </w:rPr>
        <w:t>租赁区域原规划用途为公共设施用地/社区服务中心、居住区配套管理用房、街道办、青少年科技馆</w:t>
      </w:r>
      <w:r>
        <w:rPr>
          <w:rFonts w:hint="eastAsia" w:ascii="楷体" w:hAnsi="楷体" w:eastAsia="楷体" w:cs="楷体"/>
          <w:color w:val="auto"/>
          <w:sz w:val="28"/>
          <w:szCs w:val="28"/>
          <w:highlight w:val="none"/>
          <w:lang w:val="en-US" w:eastAsia="zh-CN"/>
        </w:rPr>
        <w:t>，</w:t>
      </w:r>
      <w:r>
        <w:rPr>
          <w:rFonts w:hint="eastAsia" w:ascii="楷体" w:hAnsi="楷体" w:eastAsia="楷体" w:cs="楷体"/>
          <w:sz w:val="28"/>
          <w:szCs w:val="28"/>
        </w:rPr>
        <w:t>乙方对此明确知悉。乙方应当按照法律</w:t>
      </w:r>
      <w:r>
        <w:rPr>
          <w:rFonts w:hint="eastAsia" w:ascii="楷体" w:hAnsi="楷体" w:eastAsia="楷体" w:cs="楷体"/>
          <w:sz w:val="28"/>
          <w:szCs w:val="28"/>
          <w:lang w:val="en-US" w:eastAsia="zh-CN"/>
        </w:rPr>
        <w:t>法规及政策</w:t>
      </w:r>
      <w:r>
        <w:rPr>
          <w:rFonts w:hint="eastAsia" w:ascii="楷体" w:hAnsi="楷体" w:eastAsia="楷体" w:cs="楷体"/>
          <w:sz w:val="28"/>
          <w:szCs w:val="28"/>
        </w:rPr>
        <w:t>规定合法合理地利用该租赁物，如因用地性质</w:t>
      </w:r>
      <w:r>
        <w:rPr>
          <w:rFonts w:hint="eastAsia" w:ascii="楷体" w:hAnsi="楷体" w:eastAsia="楷体" w:cs="楷体"/>
          <w:sz w:val="28"/>
          <w:szCs w:val="28"/>
          <w:lang w:eastAsia="zh-CN"/>
        </w:rPr>
        <w:t>、</w:t>
      </w:r>
      <w:r>
        <w:rPr>
          <w:rFonts w:hint="eastAsia" w:ascii="楷体" w:hAnsi="楷体" w:eastAsia="楷体" w:cs="楷体"/>
          <w:sz w:val="28"/>
          <w:szCs w:val="28"/>
          <w:lang w:val="en-US" w:eastAsia="zh-CN"/>
        </w:rPr>
        <w:t>用途</w:t>
      </w:r>
      <w:r>
        <w:rPr>
          <w:rFonts w:hint="eastAsia" w:ascii="楷体" w:hAnsi="楷体" w:eastAsia="楷体" w:cs="楷体"/>
          <w:sz w:val="28"/>
          <w:szCs w:val="28"/>
        </w:rPr>
        <w:t>不符合乙方租赁用途的，甲方不承担任何法律责任</w:t>
      </w:r>
      <w:r>
        <w:rPr>
          <w:rFonts w:hint="eastAsia" w:ascii="楷体" w:hAnsi="楷体" w:eastAsia="楷体" w:cs="楷体"/>
          <w:sz w:val="28"/>
          <w:szCs w:val="28"/>
          <w:lang w:val="en-US" w:eastAsia="zh-CN"/>
        </w:rPr>
        <w:t>。</w:t>
      </w:r>
      <w:r>
        <w:rPr>
          <w:rFonts w:hint="eastAsia" w:ascii="楷体" w:hAnsi="楷体" w:eastAsia="楷体" w:cs="楷体"/>
          <w:sz w:val="28"/>
          <w:szCs w:val="28"/>
        </w:rPr>
        <w:t>乙方应当自担风险，承担有关法律责任</w:t>
      </w:r>
      <w:r>
        <w:rPr>
          <w:rFonts w:hint="eastAsia" w:ascii="楷体" w:hAnsi="楷体" w:eastAsia="楷体" w:cs="楷体"/>
          <w:sz w:val="28"/>
          <w:szCs w:val="28"/>
          <w:lang w:eastAsia="zh-CN"/>
        </w:rPr>
        <w:t>，</w:t>
      </w:r>
      <w:r>
        <w:rPr>
          <w:rFonts w:hint="eastAsia" w:ascii="楷体" w:hAnsi="楷体" w:eastAsia="楷体" w:cs="楷体"/>
          <w:sz w:val="28"/>
          <w:szCs w:val="28"/>
          <w:lang w:val="en-US" w:eastAsia="zh-CN"/>
        </w:rPr>
        <w:t>同时在租金外承担因变更用途产生的包括但不限于土地收益金等税费</w:t>
      </w:r>
      <w:r>
        <w:rPr>
          <w:rFonts w:hint="eastAsia" w:ascii="楷体" w:hAnsi="楷体" w:eastAsia="楷体" w:cs="楷体"/>
          <w:sz w:val="28"/>
          <w:szCs w:val="28"/>
        </w:rPr>
        <w:t>。</w:t>
      </w:r>
      <w:r>
        <w:rPr>
          <w:rFonts w:hint="eastAsia" w:ascii="楷体" w:hAnsi="楷体" w:eastAsia="楷体" w:cs="楷体"/>
          <w:color w:val="auto"/>
          <w:sz w:val="28"/>
          <w:szCs w:val="28"/>
          <w:highlight w:val="none"/>
          <w:lang w:val="en-US" w:eastAsia="zh-CN"/>
        </w:rPr>
        <w:t>乙方在承租前，已自行了解和清楚该物业在租赁后可开展的商业业态并自愿承租该物业，不会再因该物业承租后业态开展提出异议。</w:t>
      </w:r>
    </w:p>
    <w:p w14:paraId="432AECF7">
      <w:pPr>
        <w:ind w:firstLine="560" w:firstLineChars="200"/>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rPr>
        <w:t>2.2乙方对其租赁用途所需的相关审批、备案、办证等手续以及法律、法规、规章、政策要求均已清楚了解，对相应风险已知晓并自愿承担。乙方在进行经营活动前，应自行办理并取得政府有关部门(工商、住建、消防、规划等)批准的执照、批复、许可等相关的各种审批、手续等，费用由乙方承担。甲方对乙方因使用租赁房屋合法经营任何有关业态办理政府有关部门(工商、住建、消防、规划等)批准的执照、批复、许可等相关的各种审批、手续不作任何保证、不承担任何责任，乙方承诺不因此提出索赔。 如因</w:t>
      </w:r>
      <w:r>
        <w:rPr>
          <w:rFonts w:hint="eastAsia" w:ascii="楷体" w:hAnsi="楷体" w:eastAsia="楷体" w:cs="楷体"/>
          <w:color w:val="auto"/>
          <w:sz w:val="28"/>
          <w:szCs w:val="28"/>
          <w:highlight w:val="none"/>
          <w:lang w:val="en-US" w:eastAsia="zh-CN"/>
        </w:rPr>
        <w:t>非乙方原因</w:t>
      </w:r>
      <w:r>
        <w:rPr>
          <w:rFonts w:hint="eastAsia" w:ascii="楷体" w:hAnsi="楷体" w:eastAsia="楷体" w:cs="楷体"/>
          <w:color w:val="auto"/>
          <w:sz w:val="28"/>
          <w:szCs w:val="28"/>
          <w:highlight w:val="none"/>
        </w:rPr>
        <w:t>导致乙方无法实际经营，致使合同</w:t>
      </w:r>
      <w:r>
        <w:rPr>
          <w:rFonts w:hint="eastAsia" w:ascii="楷体" w:hAnsi="楷体" w:eastAsia="楷体" w:cs="楷体"/>
          <w:color w:val="auto"/>
          <w:sz w:val="28"/>
          <w:szCs w:val="28"/>
          <w:highlight w:val="none"/>
          <w:lang w:val="en-US" w:eastAsia="zh-CN"/>
        </w:rPr>
        <w:t>客观</w:t>
      </w:r>
      <w:r>
        <w:rPr>
          <w:rFonts w:hint="eastAsia" w:ascii="楷体" w:hAnsi="楷体" w:eastAsia="楷体" w:cs="楷体"/>
          <w:color w:val="auto"/>
          <w:sz w:val="28"/>
          <w:szCs w:val="28"/>
          <w:highlight w:val="none"/>
        </w:rPr>
        <w:t>无法履行的，甲乙双方可</w:t>
      </w:r>
      <w:r>
        <w:rPr>
          <w:rFonts w:hint="eastAsia" w:ascii="楷体" w:hAnsi="楷体" w:eastAsia="楷体" w:cs="楷体"/>
          <w:color w:val="auto"/>
          <w:sz w:val="28"/>
          <w:szCs w:val="28"/>
          <w:highlight w:val="none"/>
          <w:lang w:val="en-US" w:eastAsia="zh-CN"/>
        </w:rPr>
        <w:t>协商一致，</w:t>
      </w:r>
      <w:r>
        <w:rPr>
          <w:rFonts w:hint="eastAsia" w:ascii="楷体" w:hAnsi="楷体" w:eastAsia="楷体" w:cs="楷体"/>
          <w:color w:val="auto"/>
          <w:sz w:val="28"/>
          <w:szCs w:val="28"/>
          <w:highlight w:val="none"/>
        </w:rPr>
        <w:t>在互不追究违约责任的前提下终止</w:t>
      </w:r>
      <w:r>
        <w:rPr>
          <w:rFonts w:hint="eastAsia" w:ascii="楷体" w:hAnsi="楷体" w:eastAsia="楷体" w:cs="楷体"/>
          <w:color w:val="auto"/>
          <w:sz w:val="28"/>
          <w:szCs w:val="28"/>
          <w:highlight w:val="none"/>
          <w:lang w:val="en-US" w:eastAsia="zh-CN"/>
        </w:rPr>
        <w:t>或解除</w:t>
      </w:r>
      <w:r>
        <w:rPr>
          <w:rFonts w:hint="eastAsia" w:ascii="楷体" w:hAnsi="楷体" w:eastAsia="楷体" w:cs="楷体"/>
          <w:color w:val="auto"/>
          <w:sz w:val="28"/>
          <w:szCs w:val="28"/>
          <w:highlight w:val="none"/>
        </w:rPr>
        <w:t>本协议。</w:t>
      </w:r>
    </w:p>
    <w:p w14:paraId="1457AEA8">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lang w:val="en-US" w:eastAsia="zh-CN"/>
        </w:rPr>
        <w:t>2.3</w:t>
      </w:r>
      <w:r>
        <w:rPr>
          <w:rFonts w:hint="eastAsia" w:ascii="楷体" w:hAnsi="楷体" w:eastAsia="楷体" w:cs="楷体"/>
          <w:color w:val="auto"/>
          <w:sz w:val="28"/>
          <w:szCs w:val="28"/>
          <w:highlight w:val="none"/>
        </w:rPr>
        <w:t xml:space="preserve"> 乙方将该物业用于本合同约定用途以外的其他用途的，须经甲方书面同意，并按有关法律、法规规定办理改变该物业用途的报批手续，甲方可根据实际情况提供必要的协助，但所需费用均由乙方承担。乙方不得以未取得行政审批手续为由，拒绝支付租金。</w:t>
      </w:r>
    </w:p>
    <w:p w14:paraId="1629EC94">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2.</w:t>
      </w:r>
      <w:r>
        <w:rPr>
          <w:rFonts w:hint="eastAsia" w:ascii="楷体" w:hAnsi="楷体" w:eastAsia="楷体" w:cs="楷体"/>
          <w:color w:val="auto"/>
          <w:sz w:val="28"/>
          <w:szCs w:val="28"/>
          <w:highlight w:val="none"/>
          <w:lang w:val="en-US" w:eastAsia="zh-CN"/>
        </w:rPr>
        <w:t>4</w:t>
      </w:r>
      <w:r>
        <w:rPr>
          <w:rFonts w:hint="eastAsia" w:ascii="楷体" w:hAnsi="楷体" w:eastAsia="楷体" w:cs="楷体"/>
          <w:color w:val="auto"/>
          <w:sz w:val="28"/>
          <w:szCs w:val="28"/>
          <w:highlight w:val="none"/>
        </w:rPr>
        <w:t>乙方应当在开业前取得营业执照及相关的各类经营许可证，由于乙方无证无照经营行为造成甲方或第三方损失的，乙方应全额赔偿。</w:t>
      </w:r>
    </w:p>
    <w:p w14:paraId="15EE978E">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2.</w:t>
      </w:r>
      <w:r>
        <w:rPr>
          <w:rFonts w:hint="eastAsia" w:ascii="楷体" w:hAnsi="楷体" w:eastAsia="楷体" w:cs="楷体"/>
          <w:color w:val="auto"/>
          <w:sz w:val="28"/>
          <w:szCs w:val="28"/>
          <w:highlight w:val="none"/>
          <w:lang w:val="en-US" w:eastAsia="zh-CN"/>
        </w:rPr>
        <w:t>5</w:t>
      </w:r>
      <w:r>
        <w:rPr>
          <w:rFonts w:hint="eastAsia" w:ascii="楷体" w:hAnsi="楷体" w:eastAsia="楷体" w:cs="楷体"/>
          <w:color w:val="auto"/>
          <w:sz w:val="28"/>
          <w:szCs w:val="28"/>
          <w:highlight w:val="none"/>
        </w:rPr>
        <w:t xml:space="preserve"> 乙方必须依法合规从事经营活动，不得发生对甲方或该物业区域的商誉及名声有不良影响的行为，特别是不得涉及毒品及其他法律禁止经营的事项，不得利用该物业从事违法活动，不得携带或储存有危险、易燃、易爆、违禁等物品，否则视同违约，甲方有权立即解除本合同、收回该物业并没收乙方保证金，因此造成的一切损失由乙方负责。</w:t>
      </w:r>
    </w:p>
    <w:p w14:paraId="24240D21">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2.</w:t>
      </w:r>
      <w:r>
        <w:rPr>
          <w:rFonts w:hint="eastAsia" w:ascii="楷体" w:hAnsi="楷体" w:eastAsia="楷体" w:cs="楷体"/>
          <w:color w:val="auto"/>
          <w:sz w:val="28"/>
          <w:szCs w:val="28"/>
          <w:highlight w:val="none"/>
          <w:lang w:val="en-US" w:eastAsia="zh-CN"/>
        </w:rPr>
        <w:t>6</w:t>
      </w:r>
      <w:r>
        <w:rPr>
          <w:rFonts w:hint="eastAsia" w:ascii="楷体" w:hAnsi="楷体" w:eastAsia="楷体" w:cs="楷体"/>
          <w:color w:val="auto"/>
          <w:sz w:val="28"/>
          <w:szCs w:val="28"/>
          <w:highlight w:val="none"/>
        </w:rPr>
        <w:t xml:space="preserve"> 乙方在该物业内不得销售假冒伪劣商品、违禁物品、侵犯他人商标权或知识产权，或进行其他违反法律、法规及规定的行为。</w:t>
      </w:r>
    </w:p>
    <w:p w14:paraId="6F28E779">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2.</w:t>
      </w:r>
      <w:r>
        <w:rPr>
          <w:rFonts w:hint="eastAsia" w:ascii="楷体" w:hAnsi="楷体" w:eastAsia="楷体" w:cs="楷体"/>
          <w:color w:val="auto"/>
          <w:sz w:val="28"/>
          <w:szCs w:val="28"/>
          <w:highlight w:val="none"/>
          <w:lang w:val="en-US" w:eastAsia="zh-CN"/>
        </w:rPr>
        <w:t>7</w:t>
      </w:r>
      <w:r>
        <w:rPr>
          <w:rFonts w:hint="eastAsia" w:ascii="楷体" w:hAnsi="楷体" w:eastAsia="楷体" w:cs="楷体"/>
          <w:color w:val="auto"/>
          <w:sz w:val="28"/>
          <w:szCs w:val="28"/>
          <w:highlight w:val="none"/>
        </w:rPr>
        <w:t>乙方有义务负责保养该物业内部甲方提供给乙方的专用设施设备，且一切费用由乙方负责。因维修、保养、使用不当而造成设施损坏及其他损失的，由乙方负责赔偿。</w:t>
      </w:r>
    </w:p>
    <w:p w14:paraId="28F616B5">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2.</w:t>
      </w:r>
      <w:r>
        <w:rPr>
          <w:rFonts w:hint="eastAsia" w:ascii="楷体" w:hAnsi="楷体" w:eastAsia="楷体" w:cs="楷体"/>
          <w:color w:val="auto"/>
          <w:sz w:val="28"/>
          <w:szCs w:val="28"/>
          <w:highlight w:val="none"/>
          <w:lang w:val="en-US" w:eastAsia="zh-CN"/>
        </w:rPr>
        <w:t>8</w:t>
      </w:r>
      <w:r>
        <w:rPr>
          <w:rFonts w:hint="eastAsia" w:ascii="楷体" w:hAnsi="楷体" w:eastAsia="楷体" w:cs="楷体"/>
          <w:color w:val="auto"/>
          <w:sz w:val="28"/>
          <w:szCs w:val="28"/>
          <w:highlight w:val="none"/>
        </w:rPr>
        <w:t>本合同签订后，若乙方在该物业注册成立新公司的，乙方应保证该公司确认并遵守本合同的全部约定，本合同中确定的乙方权利义务在该公司成立后全部由该公司承担，甲方、乙方及乙方注册变更后的该公司三方应该及时签署相应的变更协议，乙方作为本合同的担保人，对该公司在本合同项下的全部责任和义务承担连带责任保证担保。担保范围为该公司因本合同项下产生的对甲方所有的义务与责任，包括但不限于租金、各种费用、违约金、赔偿金、甲方实现债权的费用（包括诉讼费用、律师费用、公派费用、执行费用等）、因该公司违约而给甲方造成的损失和其他所有应付费用。担保期限为自租赁合同签订之日起至租赁合同期满后</w:t>
      </w:r>
      <w:r>
        <w:rPr>
          <w:rFonts w:hint="eastAsia" w:ascii="楷体" w:hAnsi="楷体" w:eastAsia="楷体" w:cs="楷体"/>
          <w:color w:val="auto"/>
          <w:sz w:val="28"/>
          <w:szCs w:val="28"/>
          <w:highlight w:val="none"/>
          <w:lang w:eastAsia="zh-Hans"/>
        </w:rPr>
        <w:t>三</w:t>
      </w:r>
      <w:r>
        <w:rPr>
          <w:rFonts w:hint="eastAsia" w:ascii="楷体" w:hAnsi="楷体" w:eastAsia="楷体" w:cs="楷体"/>
          <w:color w:val="auto"/>
          <w:sz w:val="28"/>
          <w:szCs w:val="28"/>
          <w:highlight w:val="none"/>
        </w:rPr>
        <w:t>年止。如该公司拒绝确认的，则甲方有权立即解除本合同、收回房屋，并按乙方违约追究违约责任。</w:t>
      </w:r>
    </w:p>
    <w:p w14:paraId="4A9831B3">
      <w:pPr>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 xml:space="preserve"> </w:t>
      </w:r>
    </w:p>
    <w:p w14:paraId="117F9080">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第三条    装修期</w:t>
      </w:r>
    </w:p>
    <w:p w14:paraId="26B8C603">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 xml:space="preserve">3.1 </w:t>
      </w:r>
      <w:r>
        <w:rPr>
          <w:rFonts w:hint="eastAsia" w:ascii="楷体" w:hAnsi="楷体" w:eastAsia="楷体" w:cs="楷体"/>
          <w:color w:val="auto"/>
          <w:sz w:val="28"/>
          <w:szCs w:val="28"/>
          <w:highlight w:val="none"/>
          <w:lang w:val="en-US" w:eastAsia="zh-CN"/>
        </w:rPr>
        <w:t>乙方需于【 】年【 】月【 】日前完成装修。</w:t>
      </w:r>
      <w:r>
        <w:rPr>
          <w:rFonts w:hint="eastAsia" w:ascii="楷体" w:hAnsi="楷体" w:eastAsia="楷体" w:cs="楷体"/>
          <w:color w:val="auto"/>
          <w:sz w:val="28"/>
          <w:szCs w:val="28"/>
          <w:highlight w:val="none"/>
        </w:rPr>
        <w:t>装修期内，该租赁物业有关水、电、燃气、电话、电视、网络、物业管理费等费用仍由乙方承担，乙方自行向甲方、物业公司或相关部门支付。</w:t>
      </w:r>
    </w:p>
    <w:p w14:paraId="3A70EE51">
      <w:pPr>
        <w:ind w:left="279" w:leftChars="133" w:firstLine="280" w:firstLineChars="1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3.2 装修期内，考虑</w:t>
      </w:r>
      <w:r>
        <w:rPr>
          <w:rFonts w:hint="eastAsia" w:ascii="楷体" w:hAnsi="楷体" w:eastAsia="楷体" w:cs="楷体"/>
          <w:color w:val="auto"/>
          <w:sz w:val="28"/>
          <w:szCs w:val="28"/>
          <w:highlight w:val="none"/>
          <w:lang w:val="en-US" w:eastAsia="zh-CN"/>
        </w:rPr>
        <w:t>到</w:t>
      </w:r>
      <w:r>
        <w:rPr>
          <w:rFonts w:hint="eastAsia" w:ascii="楷体" w:hAnsi="楷体" w:eastAsia="楷体" w:cs="楷体"/>
          <w:color w:val="auto"/>
          <w:sz w:val="28"/>
          <w:szCs w:val="28"/>
          <w:highlight w:val="none"/>
        </w:rPr>
        <w:t>乙方装修期间对经营的影响，对</w:t>
      </w:r>
      <w:r>
        <w:rPr>
          <w:rFonts w:hint="eastAsia" w:ascii="楷体" w:hAnsi="楷体" w:eastAsia="楷体" w:cs="楷体"/>
          <w:color w:val="auto"/>
          <w:sz w:val="28"/>
          <w:szCs w:val="28"/>
          <w:highlight w:val="none"/>
          <w:lang w:val="en-US" w:eastAsia="zh-CN"/>
        </w:rPr>
        <w:t>第二期</w:t>
      </w:r>
      <w:r>
        <w:rPr>
          <w:rFonts w:hint="eastAsia" w:ascii="楷体" w:hAnsi="楷体" w:eastAsia="楷体" w:cs="楷体"/>
          <w:color w:val="auto"/>
          <w:sz w:val="28"/>
          <w:szCs w:val="28"/>
          <w:highlight w:val="none"/>
        </w:rPr>
        <w:t>租金予以</w:t>
      </w:r>
      <w:r>
        <w:rPr>
          <w:rFonts w:hint="eastAsia" w:ascii="楷体" w:hAnsi="楷体" w:eastAsia="楷体" w:cs="楷体"/>
          <w:color w:val="auto"/>
          <w:sz w:val="28"/>
          <w:szCs w:val="28"/>
          <w:highlight w:val="none"/>
          <w:u w:val="single"/>
        </w:rPr>
        <w:t xml:space="preserve"> </w:t>
      </w:r>
      <w:r>
        <w:rPr>
          <w:rFonts w:hint="eastAsia" w:ascii="楷体" w:hAnsi="楷体" w:eastAsia="楷体" w:cs="楷体"/>
          <w:color w:val="auto"/>
          <w:sz w:val="28"/>
          <w:szCs w:val="28"/>
          <w:highlight w:val="none"/>
          <w:u w:val="single"/>
          <w:lang w:val="en-US" w:eastAsia="zh-CN"/>
        </w:rPr>
        <w:t xml:space="preserve">    </w:t>
      </w:r>
      <w:r>
        <w:rPr>
          <w:rFonts w:hint="eastAsia" w:ascii="楷体" w:hAnsi="楷体" w:eastAsia="楷体" w:cs="楷体"/>
          <w:color w:val="auto"/>
          <w:sz w:val="28"/>
          <w:szCs w:val="28"/>
          <w:highlight w:val="none"/>
          <w:u w:val="none"/>
        </w:rPr>
        <w:t>元</w:t>
      </w:r>
      <w:r>
        <w:rPr>
          <w:rFonts w:hint="eastAsia" w:ascii="楷体" w:hAnsi="楷体" w:eastAsia="楷体" w:cs="楷体"/>
          <w:color w:val="auto"/>
          <w:sz w:val="28"/>
          <w:szCs w:val="28"/>
          <w:highlight w:val="none"/>
        </w:rPr>
        <w:t>的减免优惠，但乙方对本合同及附件规定的其他义务均不免除。</w:t>
      </w:r>
    </w:p>
    <w:p w14:paraId="3D3556F6">
      <w:pPr>
        <w:ind w:firstLine="560" w:firstLineChars="200"/>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rPr>
        <w:t>3.3 若因乙方违约或乙方原因导致本合同提前解除或者终止的，乙方应无条件补缴第</w:t>
      </w:r>
      <w:r>
        <w:rPr>
          <w:rFonts w:hint="eastAsia" w:ascii="楷体" w:hAnsi="楷体" w:eastAsia="楷体" w:cs="楷体"/>
          <w:color w:val="auto"/>
          <w:sz w:val="28"/>
          <w:szCs w:val="28"/>
          <w:highlight w:val="none"/>
          <w:lang w:val="en-US" w:eastAsia="zh-CN"/>
        </w:rPr>
        <w:t>二</w:t>
      </w:r>
      <w:r>
        <w:rPr>
          <w:rFonts w:hint="eastAsia" w:ascii="楷体" w:hAnsi="楷体" w:eastAsia="楷体" w:cs="楷体"/>
          <w:color w:val="auto"/>
          <w:sz w:val="28"/>
          <w:szCs w:val="28"/>
          <w:highlight w:val="none"/>
        </w:rPr>
        <w:t>期租金中予以减免优惠的金额</w:t>
      </w:r>
      <w:r>
        <w:rPr>
          <w:rFonts w:hint="eastAsia" w:ascii="楷体" w:hAnsi="楷体" w:eastAsia="楷体" w:cs="楷体"/>
          <w:color w:val="auto"/>
          <w:sz w:val="28"/>
          <w:szCs w:val="28"/>
          <w:highlight w:val="none"/>
          <w:u w:val="single"/>
          <w:lang w:val="en-US" w:eastAsia="zh-CN"/>
        </w:rPr>
        <w:t xml:space="preserve">   </w:t>
      </w:r>
      <w:r>
        <w:rPr>
          <w:rFonts w:hint="eastAsia" w:ascii="楷体" w:hAnsi="楷体" w:eastAsia="楷体" w:cs="楷体"/>
          <w:color w:val="auto"/>
          <w:sz w:val="28"/>
          <w:szCs w:val="28"/>
          <w:highlight w:val="none"/>
        </w:rPr>
        <w:t>元。</w:t>
      </w:r>
    </w:p>
    <w:p w14:paraId="600BBE48">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3.4</w:t>
      </w:r>
      <w:r>
        <w:rPr>
          <w:rFonts w:hint="eastAsia" w:ascii="楷体" w:hAnsi="楷体" w:eastAsia="楷体" w:cs="楷体"/>
          <w:color w:val="auto"/>
          <w:sz w:val="28"/>
          <w:szCs w:val="28"/>
          <w:highlight w:val="none"/>
          <w:lang w:val="en-US" w:eastAsia="zh-CN"/>
        </w:rPr>
        <w:t>乙方承诺：在承租期间自行承担房屋安全责任人和使用人责任，若</w:t>
      </w:r>
      <w:r>
        <w:rPr>
          <w:rFonts w:hint="eastAsia" w:ascii="楷体" w:hAnsi="楷体" w:eastAsia="楷体" w:cs="楷体"/>
          <w:color w:val="auto"/>
          <w:sz w:val="28"/>
          <w:szCs w:val="28"/>
          <w:highlight w:val="none"/>
        </w:rPr>
        <w:t>乙方在装修过程中存在不安全的行为，造成甲方损失</w:t>
      </w:r>
      <w:r>
        <w:rPr>
          <w:rFonts w:hint="eastAsia" w:ascii="楷体" w:hAnsi="楷体" w:eastAsia="楷体" w:cs="楷体"/>
          <w:color w:val="auto"/>
          <w:sz w:val="28"/>
          <w:szCs w:val="28"/>
          <w:highlight w:val="none"/>
          <w:lang w:val="en-US" w:eastAsia="zh-CN"/>
        </w:rPr>
        <w:t>或行政处罚等相关损失</w:t>
      </w:r>
      <w:r>
        <w:rPr>
          <w:rFonts w:hint="eastAsia" w:ascii="楷体" w:hAnsi="楷体" w:eastAsia="楷体" w:cs="楷体"/>
          <w:color w:val="auto"/>
          <w:sz w:val="28"/>
          <w:szCs w:val="28"/>
          <w:highlight w:val="none"/>
        </w:rPr>
        <w:t>的，甲方</w:t>
      </w:r>
      <w:r>
        <w:rPr>
          <w:rFonts w:hint="eastAsia" w:ascii="楷体" w:hAnsi="楷体" w:eastAsia="楷体" w:cs="楷体"/>
          <w:color w:val="auto"/>
          <w:sz w:val="28"/>
          <w:szCs w:val="28"/>
          <w:highlight w:val="none"/>
          <w:lang w:val="en-US" w:eastAsia="zh-CN"/>
        </w:rPr>
        <w:t>除</w:t>
      </w:r>
      <w:r>
        <w:rPr>
          <w:rFonts w:hint="eastAsia" w:ascii="楷体" w:hAnsi="楷体" w:eastAsia="楷体" w:cs="楷体"/>
          <w:color w:val="auto"/>
          <w:sz w:val="28"/>
          <w:szCs w:val="28"/>
          <w:highlight w:val="none"/>
        </w:rPr>
        <w:t>有权直接从装修保证金中扣除</w:t>
      </w:r>
      <w:r>
        <w:rPr>
          <w:rFonts w:hint="eastAsia" w:ascii="楷体" w:hAnsi="楷体" w:eastAsia="楷体" w:cs="楷体"/>
          <w:color w:val="auto"/>
          <w:sz w:val="28"/>
          <w:szCs w:val="28"/>
          <w:highlight w:val="none"/>
          <w:lang w:val="en-US" w:eastAsia="zh-CN"/>
        </w:rPr>
        <w:t>外，还有权向乙方追偿一切损失（</w:t>
      </w:r>
      <w:r>
        <w:rPr>
          <w:rFonts w:hint="eastAsia" w:ascii="楷体" w:hAnsi="楷体" w:eastAsia="楷体" w:cs="楷体"/>
          <w:color w:val="auto"/>
          <w:sz w:val="28"/>
          <w:szCs w:val="28"/>
          <w:highlight w:val="none"/>
        </w:rPr>
        <w:t>但不限于违约金、赔偿金、</w:t>
      </w:r>
      <w:r>
        <w:rPr>
          <w:rFonts w:hint="eastAsia" w:ascii="楷体" w:hAnsi="楷体" w:eastAsia="楷体" w:cs="楷体"/>
          <w:color w:val="auto"/>
          <w:sz w:val="28"/>
          <w:szCs w:val="28"/>
          <w:highlight w:val="none"/>
          <w:lang w:val="en-US" w:eastAsia="zh-CN"/>
        </w:rPr>
        <w:t>行政处罚金、</w:t>
      </w:r>
      <w:r>
        <w:rPr>
          <w:rFonts w:hint="eastAsia" w:ascii="楷体" w:hAnsi="楷体" w:eastAsia="楷体" w:cs="楷体"/>
          <w:color w:val="auto"/>
          <w:sz w:val="28"/>
          <w:szCs w:val="28"/>
          <w:highlight w:val="none"/>
        </w:rPr>
        <w:t>甲方实现债权</w:t>
      </w:r>
      <w:r>
        <w:rPr>
          <w:rFonts w:hint="eastAsia" w:ascii="楷体" w:hAnsi="楷体" w:eastAsia="楷体" w:cs="楷体"/>
          <w:color w:val="auto"/>
          <w:sz w:val="28"/>
          <w:szCs w:val="28"/>
          <w:highlight w:val="none"/>
          <w:lang w:val="en-US" w:eastAsia="zh-CN"/>
        </w:rPr>
        <w:t>的</w:t>
      </w:r>
      <w:r>
        <w:rPr>
          <w:rFonts w:hint="eastAsia" w:ascii="楷体" w:hAnsi="楷体" w:eastAsia="楷体" w:cs="楷体"/>
          <w:color w:val="auto"/>
          <w:sz w:val="28"/>
          <w:szCs w:val="28"/>
          <w:highlight w:val="none"/>
        </w:rPr>
        <w:t>包括诉讼费用、律师费用、公派费用、执行费用等</w:t>
      </w:r>
      <w:r>
        <w:rPr>
          <w:rFonts w:hint="eastAsia" w:ascii="楷体" w:hAnsi="楷体" w:eastAsia="楷体" w:cs="楷体"/>
          <w:color w:val="auto"/>
          <w:sz w:val="28"/>
          <w:szCs w:val="28"/>
          <w:highlight w:val="none"/>
          <w:lang w:val="en-US" w:eastAsia="zh-CN"/>
        </w:rPr>
        <w:t>全部费用</w:t>
      </w:r>
      <w:r>
        <w:rPr>
          <w:rFonts w:hint="eastAsia" w:ascii="楷体" w:hAnsi="楷体" w:eastAsia="楷体" w:cs="楷体"/>
          <w:color w:val="auto"/>
          <w:sz w:val="28"/>
          <w:szCs w:val="28"/>
          <w:highlight w:val="none"/>
        </w:rPr>
        <w:t>）。装修期满，乙方装修完毕且经相关部门验收合格后</w:t>
      </w:r>
      <w:r>
        <w:rPr>
          <w:rFonts w:hint="eastAsia" w:ascii="楷体" w:hAnsi="楷体" w:eastAsia="楷体" w:cs="楷体"/>
          <w:color w:val="auto"/>
          <w:sz w:val="28"/>
          <w:szCs w:val="28"/>
          <w:highlight w:val="none"/>
          <w:lang w:eastAsia="zh-CN"/>
        </w:rPr>
        <w:t>，</w:t>
      </w:r>
      <w:r>
        <w:rPr>
          <w:rFonts w:hint="eastAsia" w:ascii="楷体" w:hAnsi="楷体" w:eastAsia="楷体" w:cs="楷体"/>
          <w:color w:val="auto"/>
          <w:sz w:val="28"/>
          <w:szCs w:val="28"/>
          <w:highlight w:val="none"/>
        </w:rPr>
        <w:t>乙方正常开展经营活动的，甲方经结算后，可向乙方退还剩余的装修保证金。</w:t>
      </w:r>
    </w:p>
    <w:p w14:paraId="0888CB8E">
      <w:pPr>
        <w:rPr>
          <w:rFonts w:ascii="楷体" w:hAnsi="楷体" w:eastAsia="楷体" w:cs="楷体"/>
          <w:color w:val="auto"/>
          <w:sz w:val="28"/>
          <w:szCs w:val="28"/>
          <w:highlight w:val="none"/>
        </w:rPr>
      </w:pPr>
    </w:p>
    <w:p w14:paraId="655739CF">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第四条    租金、保证金及其他费用与支付方式</w:t>
      </w:r>
    </w:p>
    <w:p w14:paraId="5138E5D7">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4.1 租金</w:t>
      </w:r>
    </w:p>
    <w:p w14:paraId="78833EFF">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4.1.1乙方承租物业含税首年租金单价为：</w:t>
      </w:r>
      <w:r>
        <w:rPr>
          <w:rFonts w:hint="eastAsia" w:ascii="楷体" w:hAnsi="楷体" w:eastAsia="楷体" w:cs="楷体"/>
          <w:color w:val="auto"/>
          <w:sz w:val="28"/>
          <w:szCs w:val="28"/>
          <w:highlight w:val="none"/>
          <w:u w:val="single"/>
          <w:lang w:val="en-US" w:eastAsia="zh-CN"/>
        </w:rPr>
        <w:t xml:space="preserve">  </w:t>
      </w:r>
      <w:r>
        <w:rPr>
          <w:rFonts w:hint="eastAsia" w:ascii="楷体" w:hAnsi="楷体" w:eastAsia="楷体" w:cs="楷体"/>
          <w:color w:val="auto"/>
          <w:sz w:val="28"/>
          <w:szCs w:val="28"/>
          <w:highlight w:val="none"/>
        </w:rPr>
        <w:t>元/天</w:t>
      </w:r>
      <w:r>
        <w:rPr>
          <w:rFonts w:ascii="楷体" w:hAnsi="楷体" w:eastAsia="楷体" w:cs="楷体"/>
          <w:color w:val="auto"/>
          <w:sz w:val="28"/>
          <w:szCs w:val="28"/>
          <w:highlight w:val="none"/>
        </w:rPr>
        <w:t>/</w:t>
      </w:r>
      <w:r>
        <w:rPr>
          <w:rFonts w:hint="eastAsia" w:ascii="楷体" w:hAnsi="楷体" w:eastAsia="楷体" w:cs="楷体"/>
          <w:color w:val="auto"/>
          <w:sz w:val="28"/>
          <w:szCs w:val="28"/>
          <w:highlight w:val="none"/>
        </w:rPr>
        <w:t>平米，首年含税标准年租金为：</w:t>
      </w:r>
      <w:r>
        <w:rPr>
          <w:rFonts w:ascii="楷体" w:hAnsi="楷体" w:eastAsia="楷体" w:cs="楷体"/>
          <w:color w:val="auto"/>
          <w:sz w:val="28"/>
          <w:szCs w:val="28"/>
          <w:highlight w:val="none"/>
          <w:u w:val="single"/>
        </w:rPr>
        <w:t xml:space="preserve"> </w:t>
      </w:r>
      <w:r>
        <w:rPr>
          <w:rFonts w:hint="eastAsia" w:ascii="楷体" w:hAnsi="楷体" w:eastAsia="楷体" w:cs="楷体"/>
          <w:color w:val="auto"/>
          <w:sz w:val="28"/>
          <w:szCs w:val="28"/>
          <w:highlight w:val="none"/>
          <w:u w:val="single"/>
          <w:lang w:val="en-US" w:eastAsia="zh-CN"/>
        </w:rPr>
        <w:t xml:space="preserve"> </w:t>
      </w:r>
      <w:r>
        <w:rPr>
          <w:rFonts w:hint="eastAsia" w:ascii="楷体" w:hAnsi="楷体" w:eastAsia="楷体" w:cs="楷体"/>
          <w:color w:val="auto"/>
          <w:sz w:val="28"/>
          <w:szCs w:val="28"/>
          <w:highlight w:val="none"/>
          <w:u w:val="single"/>
        </w:rPr>
        <w:t xml:space="preserve"> </w:t>
      </w:r>
      <w:r>
        <w:rPr>
          <w:rFonts w:ascii="楷体" w:hAnsi="楷体" w:eastAsia="楷体" w:cs="楷体"/>
          <w:color w:val="auto"/>
          <w:sz w:val="28"/>
          <w:szCs w:val="28"/>
          <w:highlight w:val="none"/>
          <w:u w:val="single"/>
        </w:rPr>
        <w:t xml:space="preserve"> </w:t>
      </w:r>
      <w:r>
        <w:rPr>
          <w:rFonts w:hint="eastAsia" w:ascii="楷体" w:hAnsi="楷体" w:eastAsia="楷体" w:cs="楷体"/>
          <w:color w:val="auto"/>
          <w:sz w:val="28"/>
          <w:szCs w:val="28"/>
          <w:highlight w:val="none"/>
        </w:rPr>
        <w:t>元，其中首年优惠后含税年租金为：</w:t>
      </w:r>
      <w:r>
        <w:rPr>
          <w:rFonts w:ascii="楷体" w:hAnsi="楷体" w:eastAsia="楷体" w:cs="楷体"/>
          <w:color w:val="auto"/>
          <w:sz w:val="28"/>
          <w:szCs w:val="28"/>
          <w:highlight w:val="none"/>
          <w:u w:val="single"/>
        </w:rPr>
        <w:t xml:space="preserve"> </w:t>
      </w:r>
      <w:r>
        <w:rPr>
          <w:rFonts w:hint="eastAsia" w:ascii="楷体" w:hAnsi="楷体" w:eastAsia="楷体" w:cs="楷体"/>
          <w:color w:val="auto"/>
          <w:sz w:val="28"/>
          <w:szCs w:val="28"/>
          <w:highlight w:val="none"/>
          <w:u w:val="single"/>
          <w:lang w:val="en-US" w:eastAsia="zh-CN"/>
        </w:rPr>
        <w:t xml:space="preserve">  </w:t>
      </w:r>
      <w:r>
        <w:rPr>
          <w:rFonts w:ascii="楷体" w:hAnsi="楷体" w:eastAsia="楷体" w:cs="楷体"/>
          <w:color w:val="auto"/>
          <w:sz w:val="28"/>
          <w:szCs w:val="28"/>
          <w:highlight w:val="none"/>
          <w:u w:val="single"/>
        </w:rPr>
        <w:t xml:space="preserve"> </w:t>
      </w:r>
      <w:r>
        <w:rPr>
          <w:rFonts w:hint="eastAsia" w:ascii="楷体" w:hAnsi="楷体" w:eastAsia="楷体" w:cs="楷体"/>
          <w:color w:val="auto"/>
          <w:sz w:val="28"/>
          <w:szCs w:val="28"/>
          <w:highlight w:val="none"/>
        </w:rPr>
        <w:t>元。自租期开始之日起，租赁期内租金每</w:t>
      </w:r>
      <w:r>
        <w:rPr>
          <w:rFonts w:hint="eastAsia" w:ascii="楷体" w:hAnsi="楷体" w:eastAsia="楷体" w:cs="楷体"/>
          <w:color w:val="auto"/>
          <w:sz w:val="28"/>
          <w:szCs w:val="28"/>
          <w:highlight w:val="none"/>
          <w:u w:val="single"/>
        </w:rPr>
        <w:t xml:space="preserve"> </w:t>
      </w:r>
      <w:r>
        <w:rPr>
          <w:rFonts w:hint="eastAsia" w:ascii="楷体" w:hAnsi="楷体" w:eastAsia="楷体" w:cs="楷体"/>
          <w:color w:val="auto"/>
          <w:sz w:val="28"/>
          <w:szCs w:val="28"/>
          <w:highlight w:val="none"/>
          <w:u w:val="single"/>
          <w:lang w:val="en-US" w:eastAsia="zh-CN"/>
        </w:rPr>
        <w:t xml:space="preserve">    </w:t>
      </w:r>
      <w:r>
        <w:rPr>
          <w:rFonts w:hint="eastAsia" w:ascii="楷体" w:hAnsi="楷体" w:eastAsia="楷体" w:cs="楷体"/>
          <w:color w:val="auto"/>
          <w:sz w:val="28"/>
          <w:szCs w:val="28"/>
          <w:highlight w:val="none"/>
          <w:u w:val="none"/>
          <w:lang w:val="en-US" w:eastAsia="zh-CN"/>
        </w:rPr>
        <w:t>年</w:t>
      </w:r>
      <w:r>
        <w:rPr>
          <w:rFonts w:hint="eastAsia" w:ascii="楷体" w:hAnsi="楷体" w:eastAsia="楷体" w:cs="楷体"/>
          <w:color w:val="auto"/>
          <w:sz w:val="28"/>
          <w:szCs w:val="28"/>
          <w:highlight w:val="none"/>
        </w:rPr>
        <w:t>递增</w:t>
      </w:r>
      <w:r>
        <w:rPr>
          <w:rFonts w:hint="eastAsia" w:ascii="楷体" w:hAnsi="楷体" w:eastAsia="楷体" w:cs="楷体"/>
          <w:color w:val="auto"/>
          <w:sz w:val="28"/>
          <w:szCs w:val="28"/>
          <w:highlight w:val="none"/>
          <w:u w:val="single"/>
        </w:rPr>
        <w:t xml:space="preserve"> </w:t>
      </w:r>
      <w:r>
        <w:rPr>
          <w:rFonts w:hint="eastAsia" w:ascii="楷体" w:hAnsi="楷体" w:eastAsia="楷体" w:cs="楷体"/>
          <w:color w:val="auto"/>
          <w:sz w:val="28"/>
          <w:szCs w:val="28"/>
          <w:highlight w:val="none"/>
          <w:u w:val="single"/>
          <w:lang w:val="en-US" w:eastAsia="zh-CN"/>
        </w:rPr>
        <w:t xml:space="preserve">    </w:t>
      </w:r>
      <w:r>
        <w:rPr>
          <w:rFonts w:hint="eastAsia" w:ascii="楷体" w:hAnsi="楷体" w:eastAsia="楷体" w:cs="楷体"/>
          <w:color w:val="auto"/>
          <w:sz w:val="28"/>
          <w:szCs w:val="28"/>
          <w:highlight w:val="none"/>
        </w:rPr>
        <w:t>%，一直到租赁期限届满为止。乙方应按以下标准支付租金：</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5092"/>
        <w:gridCol w:w="2111"/>
      </w:tblGrid>
      <w:tr w14:paraId="1FA2A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34" w:type="dxa"/>
            <w:vAlign w:val="center"/>
          </w:tcPr>
          <w:p w14:paraId="229EB2B2">
            <w:pPr>
              <w:jc w:val="center"/>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序号</w:t>
            </w:r>
          </w:p>
        </w:tc>
        <w:tc>
          <w:tcPr>
            <w:tcW w:w="5092" w:type="dxa"/>
            <w:vAlign w:val="center"/>
          </w:tcPr>
          <w:p w14:paraId="5AA93743">
            <w:pPr>
              <w:jc w:val="center"/>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起止日期</w:t>
            </w:r>
          </w:p>
        </w:tc>
        <w:tc>
          <w:tcPr>
            <w:tcW w:w="2111" w:type="dxa"/>
            <w:vAlign w:val="center"/>
          </w:tcPr>
          <w:p w14:paraId="06C74B74">
            <w:pPr>
              <w:jc w:val="center"/>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应付租金（元）</w:t>
            </w:r>
          </w:p>
        </w:tc>
      </w:tr>
      <w:tr w14:paraId="428B5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4" w:type="dxa"/>
            <w:vAlign w:val="center"/>
          </w:tcPr>
          <w:p w14:paraId="36CAD9D6">
            <w:pPr>
              <w:ind w:firstLine="358" w:firstLineChars="128"/>
              <w:jc w:val="center"/>
              <w:rPr>
                <w:rFonts w:hint="eastAsia" w:ascii="楷体" w:hAnsi="楷体" w:eastAsia="楷体" w:cs="楷体"/>
                <w:color w:val="auto"/>
                <w:sz w:val="28"/>
                <w:szCs w:val="28"/>
                <w:highlight w:val="none"/>
                <w:lang w:val="en-US" w:eastAsia="zh-CN"/>
              </w:rPr>
            </w:pPr>
            <w:r>
              <w:rPr>
                <w:rFonts w:hint="eastAsia" w:ascii="楷体" w:hAnsi="楷体" w:eastAsia="楷体" w:cs="楷体"/>
                <w:color w:val="auto"/>
                <w:sz w:val="28"/>
                <w:szCs w:val="28"/>
                <w:highlight w:val="none"/>
                <w:lang w:val="en-US" w:eastAsia="zh-CN"/>
              </w:rPr>
              <w:t>1</w:t>
            </w:r>
          </w:p>
        </w:tc>
        <w:tc>
          <w:tcPr>
            <w:tcW w:w="5092" w:type="dxa"/>
            <w:vAlign w:val="center"/>
          </w:tcPr>
          <w:p w14:paraId="1556EBDE">
            <w:pPr>
              <w:ind w:firstLine="840" w:firstLineChars="300"/>
              <w:rPr>
                <w:rFonts w:hint="default" w:ascii="楷体" w:hAnsi="楷体" w:eastAsia="楷体" w:cs="楷体"/>
                <w:color w:val="auto"/>
                <w:sz w:val="28"/>
                <w:szCs w:val="28"/>
                <w:highlight w:val="none"/>
                <w:lang w:val="en-US" w:eastAsia="zh-CN"/>
              </w:rPr>
            </w:pPr>
            <w:r>
              <w:rPr>
                <w:rFonts w:hint="eastAsia" w:ascii="楷体" w:hAnsi="楷体" w:eastAsia="楷体" w:cs="楷体"/>
                <w:color w:val="auto"/>
                <w:sz w:val="28"/>
                <w:szCs w:val="28"/>
                <w:highlight w:val="none"/>
                <w:lang w:val="en-US" w:eastAsia="zh-CN"/>
              </w:rPr>
              <w:t>年  月  日至   年  月  日</w:t>
            </w:r>
          </w:p>
        </w:tc>
        <w:tc>
          <w:tcPr>
            <w:tcW w:w="2111" w:type="dxa"/>
            <w:vAlign w:val="center"/>
          </w:tcPr>
          <w:p w14:paraId="67DE78AA">
            <w:pPr>
              <w:jc w:val="center"/>
              <w:rPr>
                <w:rFonts w:hint="eastAsia" w:ascii="楷体" w:hAnsi="楷体" w:eastAsia="楷体" w:cs="楷体"/>
                <w:color w:val="auto"/>
                <w:sz w:val="28"/>
                <w:szCs w:val="28"/>
                <w:highlight w:val="none"/>
                <w:lang w:val="en-US" w:eastAsia="zh-CN"/>
              </w:rPr>
            </w:pPr>
          </w:p>
        </w:tc>
      </w:tr>
      <w:tr w14:paraId="0029F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4" w:type="dxa"/>
            <w:vAlign w:val="center"/>
          </w:tcPr>
          <w:p w14:paraId="4B342DDA">
            <w:pPr>
              <w:ind w:firstLine="358" w:firstLineChars="128"/>
              <w:jc w:val="center"/>
              <w:rPr>
                <w:rFonts w:hint="eastAsia" w:ascii="楷体" w:hAnsi="楷体" w:eastAsia="楷体" w:cs="楷体"/>
                <w:color w:val="auto"/>
                <w:sz w:val="28"/>
                <w:szCs w:val="28"/>
                <w:highlight w:val="none"/>
                <w:lang w:val="en-US" w:eastAsia="zh-CN"/>
              </w:rPr>
            </w:pPr>
            <w:r>
              <w:rPr>
                <w:rFonts w:hint="eastAsia" w:ascii="楷体" w:hAnsi="楷体" w:eastAsia="楷体" w:cs="楷体"/>
                <w:color w:val="auto"/>
                <w:sz w:val="28"/>
                <w:szCs w:val="28"/>
                <w:highlight w:val="none"/>
                <w:lang w:val="en-US" w:eastAsia="zh-CN"/>
              </w:rPr>
              <w:t>2</w:t>
            </w:r>
          </w:p>
        </w:tc>
        <w:tc>
          <w:tcPr>
            <w:tcW w:w="5092" w:type="dxa"/>
            <w:vAlign w:val="center"/>
          </w:tcPr>
          <w:p w14:paraId="6FF36077">
            <w:pPr>
              <w:ind w:firstLine="840" w:firstLineChars="3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lang w:val="en-US" w:eastAsia="zh-CN"/>
              </w:rPr>
              <w:t>年  月  日至   年  月  日</w:t>
            </w:r>
          </w:p>
        </w:tc>
        <w:tc>
          <w:tcPr>
            <w:tcW w:w="2111" w:type="dxa"/>
            <w:vAlign w:val="center"/>
          </w:tcPr>
          <w:p w14:paraId="53882474">
            <w:pPr>
              <w:jc w:val="center"/>
              <w:rPr>
                <w:rFonts w:hint="eastAsia" w:ascii="楷体" w:hAnsi="楷体" w:eastAsia="楷体" w:cs="楷体"/>
                <w:color w:val="auto"/>
                <w:sz w:val="28"/>
                <w:szCs w:val="28"/>
                <w:highlight w:val="none"/>
                <w:lang w:val="en-US" w:eastAsia="zh-CN"/>
              </w:rPr>
            </w:pPr>
          </w:p>
        </w:tc>
      </w:tr>
      <w:tr w14:paraId="48DA7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4" w:type="dxa"/>
            <w:vAlign w:val="center"/>
          </w:tcPr>
          <w:p w14:paraId="5EDB937F">
            <w:pPr>
              <w:ind w:firstLine="358" w:firstLineChars="128"/>
              <w:jc w:val="center"/>
              <w:rPr>
                <w:rFonts w:hint="eastAsia" w:ascii="楷体" w:hAnsi="楷体" w:eastAsia="楷体" w:cs="楷体"/>
                <w:color w:val="auto"/>
                <w:sz w:val="28"/>
                <w:szCs w:val="28"/>
                <w:highlight w:val="none"/>
                <w:lang w:val="en-US" w:eastAsia="zh-CN"/>
              </w:rPr>
            </w:pPr>
            <w:r>
              <w:rPr>
                <w:rFonts w:hint="eastAsia" w:ascii="楷体" w:hAnsi="楷体" w:eastAsia="楷体" w:cs="楷体"/>
                <w:color w:val="auto"/>
                <w:sz w:val="28"/>
                <w:szCs w:val="28"/>
                <w:highlight w:val="none"/>
                <w:lang w:val="en-US" w:eastAsia="zh-CN"/>
              </w:rPr>
              <w:t>3</w:t>
            </w:r>
          </w:p>
        </w:tc>
        <w:tc>
          <w:tcPr>
            <w:tcW w:w="5092" w:type="dxa"/>
            <w:vAlign w:val="center"/>
          </w:tcPr>
          <w:p w14:paraId="2BB34E18">
            <w:pPr>
              <w:ind w:firstLine="840" w:firstLineChars="3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lang w:val="en-US" w:eastAsia="zh-CN"/>
              </w:rPr>
              <w:t>年  月  日至   年  月  日</w:t>
            </w:r>
          </w:p>
        </w:tc>
        <w:tc>
          <w:tcPr>
            <w:tcW w:w="2111" w:type="dxa"/>
            <w:vAlign w:val="center"/>
          </w:tcPr>
          <w:p w14:paraId="6AEA56A7">
            <w:pPr>
              <w:jc w:val="center"/>
              <w:rPr>
                <w:rFonts w:hint="eastAsia" w:ascii="楷体" w:hAnsi="楷体" w:eastAsia="楷体" w:cs="楷体"/>
                <w:color w:val="auto"/>
                <w:sz w:val="28"/>
                <w:szCs w:val="28"/>
                <w:highlight w:val="none"/>
                <w:lang w:val="en-US" w:eastAsia="zh-CN"/>
              </w:rPr>
            </w:pPr>
          </w:p>
        </w:tc>
      </w:tr>
      <w:tr w14:paraId="60339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4" w:type="dxa"/>
            <w:vAlign w:val="center"/>
          </w:tcPr>
          <w:p w14:paraId="535A848C">
            <w:pPr>
              <w:ind w:firstLine="358" w:firstLineChars="128"/>
              <w:jc w:val="center"/>
              <w:rPr>
                <w:rFonts w:ascii="楷体" w:hAnsi="楷体" w:eastAsia="楷体" w:cs="楷体"/>
                <w:color w:val="auto"/>
                <w:sz w:val="28"/>
                <w:szCs w:val="28"/>
                <w:highlight w:val="none"/>
              </w:rPr>
            </w:pPr>
          </w:p>
        </w:tc>
        <w:tc>
          <w:tcPr>
            <w:tcW w:w="5092" w:type="dxa"/>
            <w:vAlign w:val="center"/>
          </w:tcPr>
          <w:p w14:paraId="0033B2F1">
            <w:pPr>
              <w:ind w:firstLine="358" w:firstLineChars="128"/>
              <w:rPr>
                <w:rFonts w:ascii="楷体" w:hAnsi="楷体" w:eastAsia="楷体" w:cs="楷体"/>
                <w:color w:val="auto"/>
                <w:sz w:val="28"/>
                <w:szCs w:val="28"/>
                <w:highlight w:val="none"/>
              </w:rPr>
            </w:pPr>
          </w:p>
        </w:tc>
        <w:tc>
          <w:tcPr>
            <w:tcW w:w="2111" w:type="dxa"/>
            <w:vAlign w:val="center"/>
          </w:tcPr>
          <w:p w14:paraId="330A679B">
            <w:pPr>
              <w:ind w:firstLine="358" w:firstLineChars="128"/>
              <w:jc w:val="center"/>
              <w:rPr>
                <w:rFonts w:ascii="楷体" w:hAnsi="楷体" w:eastAsia="楷体" w:cs="楷体"/>
                <w:color w:val="auto"/>
                <w:sz w:val="28"/>
                <w:szCs w:val="28"/>
                <w:highlight w:val="none"/>
              </w:rPr>
            </w:pPr>
          </w:p>
        </w:tc>
      </w:tr>
      <w:tr w14:paraId="43FCA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4" w:type="dxa"/>
            <w:vAlign w:val="center"/>
          </w:tcPr>
          <w:p w14:paraId="78285375">
            <w:pPr>
              <w:ind w:firstLine="358" w:firstLineChars="128"/>
              <w:jc w:val="center"/>
              <w:rPr>
                <w:rFonts w:ascii="楷体" w:hAnsi="楷体" w:eastAsia="楷体" w:cs="楷体"/>
                <w:color w:val="auto"/>
                <w:sz w:val="28"/>
                <w:szCs w:val="28"/>
                <w:highlight w:val="none"/>
              </w:rPr>
            </w:pPr>
          </w:p>
        </w:tc>
        <w:tc>
          <w:tcPr>
            <w:tcW w:w="5092" w:type="dxa"/>
            <w:vAlign w:val="center"/>
          </w:tcPr>
          <w:p w14:paraId="07EE95C4">
            <w:pPr>
              <w:ind w:firstLine="358" w:firstLineChars="128"/>
              <w:rPr>
                <w:rFonts w:ascii="楷体" w:hAnsi="楷体" w:eastAsia="楷体" w:cs="楷体"/>
                <w:color w:val="auto"/>
                <w:sz w:val="28"/>
                <w:szCs w:val="28"/>
                <w:highlight w:val="none"/>
              </w:rPr>
            </w:pPr>
          </w:p>
        </w:tc>
        <w:tc>
          <w:tcPr>
            <w:tcW w:w="2111" w:type="dxa"/>
            <w:vAlign w:val="center"/>
          </w:tcPr>
          <w:p w14:paraId="62CFA94E">
            <w:pPr>
              <w:ind w:firstLine="358" w:firstLineChars="128"/>
              <w:jc w:val="center"/>
              <w:rPr>
                <w:rFonts w:ascii="楷体" w:hAnsi="楷体" w:eastAsia="楷体" w:cs="楷体"/>
                <w:color w:val="auto"/>
                <w:sz w:val="28"/>
                <w:szCs w:val="28"/>
                <w:highlight w:val="none"/>
              </w:rPr>
            </w:pPr>
          </w:p>
        </w:tc>
      </w:tr>
      <w:tr w14:paraId="13C9B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4" w:type="dxa"/>
            <w:vAlign w:val="center"/>
          </w:tcPr>
          <w:p w14:paraId="6E5348BB">
            <w:pPr>
              <w:ind w:firstLine="358" w:firstLineChars="128"/>
              <w:jc w:val="center"/>
              <w:rPr>
                <w:rFonts w:ascii="楷体" w:hAnsi="楷体" w:eastAsia="楷体" w:cs="楷体"/>
                <w:color w:val="auto"/>
                <w:sz w:val="28"/>
                <w:szCs w:val="28"/>
                <w:highlight w:val="none"/>
              </w:rPr>
            </w:pPr>
          </w:p>
        </w:tc>
        <w:tc>
          <w:tcPr>
            <w:tcW w:w="5092" w:type="dxa"/>
            <w:vAlign w:val="center"/>
          </w:tcPr>
          <w:p w14:paraId="3A442EA0">
            <w:pPr>
              <w:ind w:firstLine="358" w:firstLineChars="128"/>
              <w:rPr>
                <w:rFonts w:ascii="楷体" w:hAnsi="楷体" w:eastAsia="楷体" w:cs="楷体"/>
                <w:color w:val="auto"/>
                <w:sz w:val="28"/>
                <w:szCs w:val="28"/>
                <w:highlight w:val="none"/>
              </w:rPr>
            </w:pPr>
          </w:p>
        </w:tc>
        <w:tc>
          <w:tcPr>
            <w:tcW w:w="2111" w:type="dxa"/>
            <w:vAlign w:val="center"/>
          </w:tcPr>
          <w:p w14:paraId="78FB1FC9">
            <w:pPr>
              <w:ind w:firstLine="358" w:firstLineChars="128"/>
              <w:jc w:val="center"/>
              <w:rPr>
                <w:rFonts w:ascii="楷体" w:hAnsi="楷体" w:eastAsia="楷体" w:cs="楷体"/>
                <w:color w:val="auto"/>
                <w:sz w:val="28"/>
                <w:szCs w:val="28"/>
                <w:highlight w:val="none"/>
              </w:rPr>
            </w:pPr>
          </w:p>
        </w:tc>
      </w:tr>
      <w:tr w14:paraId="65707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4" w:type="dxa"/>
            <w:vAlign w:val="center"/>
          </w:tcPr>
          <w:p w14:paraId="242854DD">
            <w:pPr>
              <w:ind w:firstLine="358" w:firstLineChars="128"/>
              <w:jc w:val="center"/>
              <w:rPr>
                <w:rFonts w:ascii="楷体" w:hAnsi="楷体" w:eastAsia="楷体" w:cs="楷体"/>
                <w:color w:val="auto"/>
                <w:sz w:val="28"/>
                <w:szCs w:val="28"/>
                <w:highlight w:val="none"/>
              </w:rPr>
            </w:pPr>
          </w:p>
        </w:tc>
        <w:tc>
          <w:tcPr>
            <w:tcW w:w="5092" w:type="dxa"/>
            <w:vAlign w:val="center"/>
          </w:tcPr>
          <w:p w14:paraId="4201491D">
            <w:pPr>
              <w:ind w:firstLine="358" w:firstLineChars="128"/>
              <w:rPr>
                <w:rFonts w:ascii="楷体" w:hAnsi="楷体" w:eastAsia="楷体" w:cs="楷体"/>
                <w:color w:val="auto"/>
                <w:sz w:val="28"/>
                <w:szCs w:val="28"/>
                <w:highlight w:val="none"/>
              </w:rPr>
            </w:pPr>
          </w:p>
        </w:tc>
        <w:tc>
          <w:tcPr>
            <w:tcW w:w="2111" w:type="dxa"/>
            <w:vAlign w:val="center"/>
          </w:tcPr>
          <w:p w14:paraId="61A50C0F">
            <w:pPr>
              <w:ind w:firstLine="358" w:firstLineChars="128"/>
              <w:jc w:val="center"/>
              <w:rPr>
                <w:rFonts w:ascii="楷体" w:hAnsi="楷体" w:eastAsia="楷体" w:cs="楷体"/>
                <w:color w:val="auto"/>
                <w:sz w:val="28"/>
                <w:szCs w:val="28"/>
                <w:highlight w:val="none"/>
              </w:rPr>
            </w:pPr>
          </w:p>
        </w:tc>
      </w:tr>
      <w:tr w14:paraId="44101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4" w:type="dxa"/>
            <w:vAlign w:val="center"/>
          </w:tcPr>
          <w:p w14:paraId="3324F57A">
            <w:pPr>
              <w:ind w:firstLine="358" w:firstLineChars="128"/>
              <w:jc w:val="center"/>
              <w:rPr>
                <w:rFonts w:ascii="楷体" w:hAnsi="楷体" w:eastAsia="楷体" w:cs="楷体"/>
                <w:color w:val="auto"/>
                <w:sz w:val="28"/>
                <w:szCs w:val="28"/>
                <w:highlight w:val="none"/>
              </w:rPr>
            </w:pPr>
          </w:p>
        </w:tc>
        <w:tc>
          <w:tcPr>
            <w:tcW w:w="5092" w:type="dxa"/>
            <w:vAlign w:val="center"/>
          </w:tcPr>
          <w:p w14:paraId="341A7F40">
            <w:pPr>
              <w:ind w:firstLine="358" w:firstLineChars="128"/>
              <w:rPr>
                <w:rFonts w:ascii="楷体" w:hAnsi="楷体" w:eastAsia="楷体" w:cs="楷体"/>
                <w:color w:val="auto"/>
                <w:sz w:val="28"/>
                <w:szCs w:val="28"/>
                <w:highlight w:val="none"/>
              </w:rPr>
            </w:pPr>
          </w:p>
        </w:tc>
        <w:tc>
          <w:tcPr>
            <w:tcW w:w="2111" w:type="dxa"/>
            <w:vAlign w:val="center"/>
          </w:tcPr>
          <w:p w14:paraId="04B3B3AB">
            <w:pPr>
              <w:ind w:firstLine="358" w:firstLineChars="128"/>
              <w:jc w:val="center"/>
              <w:rPr>
                <w:rFonts w:ascii="楷体" w:hAnsi="楷体" w:eastAsia="楷体" w:cs="楷体"/>
                <w:color w:val="auto"/>
                <w:sz w:val="28"/>
                <w:szCs w:val="28"/>
                <w:highlight w:val="none"/>
              </w:rPr>
            </w:pPr>
          </w:p>
        </w:tc>
      </w:tr>
    </w:tbl>
    <w:p w14:paraId="7EB1F91A">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合同成交总价为：</w:t>
      </w:r>
      <w:r>
        <w:rPr>
          <w:rFonts w:ascii="楷体" w:hAnsi="楷体" w:eastAsia="楷体" w:cs="楷体"/>
          <w:color w:val="auto"/>
          <w:sz w:val="28"/>
          <w:szCs w:val="28"/>
          <w:highlight w:val="none"/>
          <w:u w:val="single"/>
        </w:rPr>
        <w:t xml:space="preserve"> </w:t>
      </w:r>
      <w:r>
        <w:rPr>
          <w:rFonts w:hint="eastAsia" w:ascii="楷体" w:hAnsi="楷体" w:eastAsia="楷体" w:cs="楷体"/>
          <w:color w:val="auto"/>
          <w:sz w:val="28"/>
          <w:szCs w:val="28"/>
          <w:highlight w:val="none"/>
          <w:u w:val="single"/>
        </w:rPr>
        <w:t xml:space="preserve"> </w:t>
      </w:r>
      <w:r>
        <w:rPr>
          <w:rFonts w:hint="eastAsia" w:ascii="楷体" w:hAnsi="楷体" w:eastAsia="楷体" w:cs="楷体"/>
          <w:color w:val="auto"/>
          <w:sz w:val="28"/>
          <w:szCs w:val="28"/>
          <w:highlight w:val="none"/>
          <w:u w:val="single"/>
          <w:lang w:val="en-US" w:eastAsia="zh-CN"/>
        </w:rPr>
        <w:t xml:space="preserve">  </w:t>
      </w:r>
      <w:r>
        <w:rPr>
          <w:rFonts w:hint="eastAsia" w:ascii="楷体" w:hAnsi="楷体" w:eastAsia="楷体" w:cs="楷体"/>
          <w:color w:val="auto"/>
          <w:sz w:val="28"/>
          <w:szCs w:val="28"/>
          <w:highlight w:val="none"/>
          <w:u w:val="single"/>
        </w:rPr>
        <w:t xml:space="preserve"> </w:t>
      </w:r>
      <w:r>
        <w:rPr>
          <w:rFonts w:hint="eastAsia" w:ascii="楷体" w:hAnsi="楷体" w:eastAsia="楷体" w:cs="楷体"/>
          <w:color w:val="auto"/>
          <w:sz w:val="28"/>
          <w:szCs w:val="28"/>
          <w:highlight w:val="none"/>
        </w:rPr>
        <w:t>（含税），其中不含税总价为：</w:t>
      </w:r>
      <w:r>
        <w:rPr>
          <w:rFonts w:hint="eastAsia" w:ascii="楷体" w:hAnsi="楷体" w:eastAsia="楷体" w:cs="楷体"/>
          <w:color w:val="auto"/>
          <w:sz w:val="28"/>
          <w:szCs w:val="28"/>
          <w:highlight w:val="none"/>
          <w:u w:val="single"/>
          <w:lang w:val="en-US" w:eastAsia="zh-CN"/>
        </w:rPr>
        <w:t xml:space="preserve">     </w:t>
      </w:r>
      <w:r>
        <w:rPr>
          <w:rFonts w:hint="eastAsia" w:ascii="楷体" w:hAnsi="楷体" w:eastAsia="楷体" w:cs="楷体"/>
          <w:color w:val="auto"/>
          <w:sz w:val="28"/>
          <w:szCs w:val="28"/>
          <w:highlight w:val="none"/>
          <w:u w:val="none"/>
          <w:lang w:val="en-US" w:eastAsia="zh-CN"/>
        </w:rPr>
        <w:t>元</w:t>
      </w:r>
      <w:r>
        <w:rPr>
          <w:rFonts w:hint="eastAsia" w:ascii="楷体" w:hAnsi="楷体" w:eastAsia="楷体" w:cs="楷体"/>
          <w:color w:val="auto"/>
          <w:sz w:val="28"/>
          <w:szCs w:val="28"/>
          <w:highlight w:val="none"/>
        </w:rPr>
        <w:t>，增值税为：</w:t>
      </w:r>
      <w:r>
        <w:rPr>
          <w:rFonts w:ascii="楷体" w:hAnsi="楷体" w:eastAsia="楷体" w:cs="楷体"/>
          <w:color w:val="auto"/>
          <w:sz w:val="28"/>
          <w:szCs w:val="28"/>
          <w:highlight w:val="none"/>
          <w:u w:val="single"/>
        </w:rPr>
        <w:t xml:space="preserve"> </w:t>
      </w:r>
      <w:r>
        <w:rPr>
          <w:rFonts w:hint="eastAsia" w:ascii="楷体" w:hAnsi="楷体" w:eastAsia="楷体" w:cs="楷体"/>
          <w:color w:val="auto"/>
          <w:sz w:val="28"/>
          <w:szCs w:val="28"/>
          <w:highlight w:val="none"/>
          <w:u w:val="single"/>
          <w:lang w:val="en-US" w:eastAsia="zh-CN"/>
        </w:rPr>
        <w:t xml:space="preserve">   </w:t>
      </w:r>
      <w:r>
        <w:rPr>
          <w:rFonts w:hint="eastAsia" w:ascii="楷体" w:hAnsi="楷体" w:eastAsia="楷体" w:cs="楷体"/>
          <w:color w:val="auto"/>
          <w:sz w:val="28"/>
          <w:szCs w:val="28"/>
          <w:highlight w:val="none"/>
          <w:u w:val="none"/>
          <w:lang w:val="en-US" w:eastAsia="zh-CN"/>
        </w:rPr>
        <w:t>元</w:t>
      </w:r>
      <w:r>
        <w:rPr>
          <w:rFonts w:hint="eastAsia" w:ascii="楷体" w:hAnsi="楷体" w:eastAsia="楷体" w:cs="楷体"/>
          <w:color w:val="auto"/>
          <w:sz w:val="28"/>
          <w:szCs w:val="28"/>
          <w:highlight w:val="none"/>
        </w:rPr>
        <w:t>。（税率为</w:t>
      </w:r>
      <w:r>
        <w:rPr>
          <w:rFonts w:hint="eastAsia" w:ascii="楷体" w:hAnsi="楷体" w:eastAsia="楷体" w:cs="楷体"/>
          <w:color w:val="auto"/>
          <w:sz w:val="28"/>
          <w:szCs w:val="28"/>
          <w:highlight w:val="none"/>
          <w:u w:val="single"/>
          <w:lang w:val="en-US" w:eastAsia="zh-CN"/>
        </w:rPr>
        <w:t xml:space="preserve">   </w:t>
      </w:r>
      <w:r>
        <w:rPr>
          <w:rFonts w:hint="eastAsia" w:ascii="楷体" w:hAnsi="楷体" w:eastAsia="楷体" w:cs="楷体"/>
          <w:color w:val="auto"/>
          <w:sz w:val="28"/>
          <w:szCs w:val="28"/>
          <w:highlight w:val="none"/>
        </w:rPr>
        <w:t>%，如涉及到税率调整，合同含税价不变，具体税率根据国家税务总局相关要求执行）</w:t>
      </w:r>
    </w:p>
    <w:p w14:paraId="675F4CB4">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4.1.2付款方式：租金先付后用，每</w:t>
      </w:r>
      <w:r>
        <w:rPr>
          <w:rFonts w:hint="eastAsia" w:ascii="楷体" w:hAnsi="楷体" w:eastAsia="楷体" w:cs="楷体"/>
          <w:color w:val="auto"/>
          <w:sz w:val="28"/>
          <w:szCs w:val="28"/>
          <w:highlight w:val="none"/>
          <w:u w:val="single"/>
          <w:lang w:val="en-US" w:eastAsia="zh-CN"/>
        </w:rPr>
        <w:t xml:space="preserve">    </w:t>
      </w:r>
      <w:r>
        <w:rPr>
          <w:rFonts w:hint="eastAsia" w:ascii="楷体" w:hAnsi="楷体" w:eastAsia="楷体" w:cs="楷体"/>
          <w:color w:val="auto"/>
          <w:sz w:val="28"/>
          <w:szCs w:val="28"/>
          <w:highlight w:val="none"/>
        </w:rPr>
        <w:t>支付一次,该租金已包含增值税专用发票额外税率等费用。第一期租金在</w:t>
      </w:r>
      <w:r>
        <w:rPr>
          <w:rFonts w:hint="eastAsia" w:ascii="楷体" w:hAnsi="楷体" w:eastAsia="楷体" w:cs="楷体"/>
          <w:color w:val="auto"/>
          <w:sz w:val="28"/>
          <w:szCs w:val="28"/>
          <w:highlight w:val="none"/>
          <w:u w:val="single"/>
        </w:rPr>
        <w:t xml:space="preserve"> </w:t>
      </w:r>
      <w:r>
        <w:rPr>
          <w:rFonts w:hint="eastAsia" w:ascii="楷体" w:hAnsi="楷体" w:eastAsia="楷体" w:cs="楷体"/>
          <w:color w:val="auto"/>
          <w:sz w:val="28"/>
          <w:szCs w:val="28"/>
          <w:highlight w:val="none"/>
          <w:u w:val="single"/>
          <w:lang w:val="en-US" w:eastAsia="zh-CN"/>
        </w:rPr>
        <w:t xml:space="preserve">  </w:t>
      </w:r>
      <w:r>
        <w:rPr>
          <w:rFonts w:hint="eastAsia" w:ascii="楷体" w:hAnsi="楷体" w:eastAsia="楷体" w:cs="楷体"/>
          <w:color w:val="auto"/>
          <w:sz w:val="28"/>
          <w:szCs w:val="28"/>
          <w:highlight w:val="none"/>
          <w:u w:val="single"/>
        </w:rPr>
        <w:t xml:space="preserve"> </w:t>
      </w:r>
      <w:r>
        <w:rPr>
          <w:rFonts w:hint="eastAsia" w:ascii="楷体" w:hAnsi="楷体" w:eastAsia="楷体" w:cs="楷体"/>
          <w:color w:val="auto"/>
          <w:sz w:val="28"/>
          <w:szCs w:val="28"/>
          <w:highlight w:val="none"/>
        </w:rPr>
        <w:t>年</w:t>
      </w:r>
      <w:r>
        <w:rPr>
          <w:rFonts w:hint="eastAsia" w:ascii="楷体" w:hAnsi="楷体" w:eastAsia="楷体" w:cs="楷体"/>
          <w:color w:val="auto"/>
          <w:sz w:val="28"/>
          <w:szCs w:val="28"/>
          <w:highlight w:val="none"/>
          <w:u w:val="single"/>
        </w:rPr>
        <w:t xml:space="preserve"> </w:t>
      </w:r>
      <w:r>
        <w:rPr>
          <w:rFonts w:hint="eastAsia" w:ascii="楷体" w:hAnsi="楷体" w:eastAsia="楷体" w:cs="楷体"/>
          <w:color w:val="auto"/>
          <w:sz w:val="28"/>
          <w:szCs w:val="28"/>
          <w:highlight w:val="none"/>
          <w:u w:val="single"/>
          <w:lang w:val="en-US" w:eastAsia="zh-CN"/>
        </w:rPr>
        <w:t xml:space="preserve">   </w:t>
      </w:r>
      <w:r>
        <w:rPr>
          <w:rFonts w:hint="eastAsia" w:ascii="楷体" w:hAnsi="楷体" w:eastAsia="楷体" w:cs="楷体"/>
          <w:color w:val="auto"/>
          <w:sz w:val="28"/>
          <w:szCs w:val="28"/>
          <w:highlight w:val="none"/>
        </w:rPr>
        <w:t>月</w:t>
      </w:r>
      <w:r>
        <w:rPr>
          <w:rFonts w:hint="eastAsia" w:ascii="楷体" w:hAnsi="楷体" w:eastAsia="楷体" w:cs="楷体"/>
          <w:strike w:val="0"/>
          <w:dstrike w:val="0"/>
          <w:color w:val="auto"/>
          <w:sz w:val="28"/>
          <w:szCs w:val="28"/>
          <w:highlight w:val="none"/>
          <w:u w:val="single"/>
          <w:lang w:val="en-US" w:eastAsia="zh-CN"/>
        </w:rPr>
        <w:t xml:space="preserve">   </w:t>
      </w:r>
      <w:r>
        <w:rPr>
          <w:rFonts w:hint="eastAsia" w:ascii="楷体" w:hAnsi="楷体" w:eastAsia="楷体" w:cs="楷体"/>
          <w:color w:val="auto"/>
          <w:sz w:val="28"/>
          <w:szCs w:val="28"/>
          <w:highlight w:val="none"/>
          <w:u w:val="single"/>
        </w:rPr>
        <w:t xml:space="preserve"> </w:t>
      </w:r>
      <w:r>
        <w:rPr>
          <w:rFonts w:hint="eastAsia" w:ascii="楷体" w:hAnsi="楷体" w:eastAsia="楷体" w:cs="楷体"/>
          <w:color w:val="auto"/>
          <w:sz w:val="28"/>
          <w:szCs w:val="28"/>
          <w:highlight w:val="none"/>
        </w:rPr>
        <w:t>日前由乙方支付给</w:t>
      </w:r>
      <w:r>
        <w:rPr>
          <w:rFonts w:hint="eastAsia"/>
          <w:sz w:val="24"/>
          <w:szCs w:val="24"/>
          <w:highlight w:val="none"/>
          <w:lang w:eastAsia="zh-CN"/>
        </w:rPr>
        <w:t>（</w:t>
      </w:r>
      <w:r>
        <w:rPr>
          <w:rFonts w:hint="eastAsia" w:ascii="楷体" w:hAnsi="楷体" w:eastAsia="楷体" w:cs="楷体"/>
          <w:color w:val="auto"/>
          <w:sz w:val="28"/>
          <w:szCs w:val="28"/>
          <w:highlight w:val="none"/>
          <w:lang w:val="en-US" w:eastAsia="zh-CN"/>
        </w:rPr>
        <w:t>杭州产权交易所</w:t>
      </w:r>
      <w:r>
        <w:rPr>
          <w:rFonts w:hint="eastAsia"/>
          <w:sz w:val="24"/>
          <w:szCs w:val="24"/>
          <w:highlight w:val="none"/>
          <w:lang w:eastAsia="zh-CN"/>
        </w:rPr>
        <w:t>）</w:t>
      </w:r>
      <w:r>
        <w:rPr>
          <w:rFonts w:hint="eastAsia" w:ascii="楷体" w:hAnsi="楷体" w:eastAsia="楷体" w:cs="楷体"/>
          <w:color w:val="auto"/>
          <w:sz w:val="28"/>
          <w:szCs w:val="28"/>
          <w:highlight w:val="none"/>
        </w:rPr>
        <w:t>，其余租赁费用在上个付费周期届满</w:t>
      </w:r>
      <w:r>
        <w:rPr>
          <w:rFonts w:hint="eastAsia" w:ascii="楷体" w:hAnsi="楷体" w:eastAsia="楷体" w:cs="楷体"/>
          <w:color w:val="auto"/>
          <w:sz w:val="28"/>
          <w:szCs w:val="28"/>
          <w:highlight w:val="none"/>
          <w:lang w:val="en-US" w:eastAsia="zh-CN"/>
        </w:rPr>
        <w:t>10</w:t>
      </w:r>
      <w:r>
        <w:rPr>
          <w:rFonts w:hint="eastAsia" w:ascii="楷体" w:hAnsi="楷体" w:eastAsia="楷体" w:cs="楷体"/>
          <w:color w:val="auto"/>
          <w:sz w:val="28"/>
          <w:szCs w:val="28"/>
          <w:highlight w:val="none"/>
        </w:rPr>
        <w:t>天前由乙方支付给甲方。上述租金并不包括乙方需交付的物业服务费、乙方经营活动而产生的政府税费及其他应由乙方支付的租金以外的费用（如水</w:t>
      </w:r>
      <w:r>
        <w:rPr>
          <w:rFonts w:hint="eastAsia" w:ascii="楷体" w:hAnsi="楷体" w:eastAsia="楷体" w:cs="楷体"/>
          <w:color w:val="auto"/>
          <w:sz w:val="28"/>
          <w:szCs w:val="28"/>
          <w:highlight w:val="none"/>
          <w:lang w:val="en-US" w:eastAsia="zh-CN"/>
        </w:rPr>
        <w:t>费</w:t>
      </w:r>
      <w:r>
        <w:rPr>
          <w:rFonts w:hint="eastAsia" w:ascii="楷体" w:hAnsi="楷体" w:eastAsia="楷体" w:cs="楷体"/>
          <w:color w:val="auto"/>
          <w:sz w:val="28"/>
          <w:szCs w:val="28"/>
          <w:highlight w:val="none"/>
        </w:rPr>
        <w:t>、电</w:t>
      </w:r>
      <w:r>
        <w:rPr>
          <w:rFonts w:hint="eastAsia" w:ascii="楷体" w:hAnsi="楷体" w:eastAsia="楷体" w:cs="楷体"/>
          <w:color w:val="auto"/>
          <w:sz w:val="28"/>
          <w:szCs w:val="28"/>
          <w:highlight w:val="none"/>
          <w:lang w:val="en-US" w:eastAsia="zh-CN"/>
        </w:rPr>
        <w:t>费</w:t>
      </w:r>
      <w:r>
        <w:rPr>
          <w:rFonts w:hint="eastAsia" w:ascii="楷体" w:hAnsi="楷体" w:eastAsia="楷体" w:cs="楷体"/>
          <w:color w:val="auto"/>
          <w:sz w:val="28"/>
          <w:szCs w:val="28"/>
          <w:highlight w:val="none"/>
        </w:rPr>
        <w:t>、电话费、垃圾清运费等）。</w:t>
      </w:r>
    </w:p>
    <w:p w14:paraId="1B21E7A6">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4.1.3甲方有义务保证租期内房屋公共区域的结构及设备可完善使用，但乙方不得以任何房屋缺陷问题为由（包括</w:t>
      </w:r>
      <w:r>
        <w:rPr>
          <w:rFonts w:hint="eastAsia" w:ascii="楷体" w:hAnsi="楷体" w:eastAsia="楷体" w:cs="楷体"/>
          <w:color w:val="auto"/>
          <w:sz w:val="28"/>
          <w:szCs w:val="28"/>
          <w:highlight w:val="none"/>
          <w:lang w:val="en-US" w:eastAsia="zh-CN"/>
        </w:rPr>
        <w:t>房屋本身，</w:t>
      </w:r>
      <w:r>
        <w:rPr>
          <w:rFonts w:hint="eastAsia" w:ascii="楷体" w:hAnsi="楷体" w:eastAsia="楷体" w:cs="楷体"/>
          <w:color w:val="auto"/>
          <w:sz w:val="28"/>
          <w:szCs w:val="28"/>
          <w:highlight w:val="none"/>
        </w:rPr>
        <w:t>设施设备，装饰等）拖欠租金。</w:t>
      </w:r>
    </w:p>
    <w:p w14:paraId="0F15BFA2">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4.2 保证金</w:t>
      </w:r>
    </w:p>
    <w:p w14:paraId="1EEC6DEF">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4.2.1履约保证金为人民币</w:t>
      </w:r>
      <w:r>
        <w:rPr>
          <w:rFonts w:hint="eastAsia" w:ascii="楷体" w:hAnsi="楷体" w:eastAsia="楷体" w:cs="楷体"/>
          <w:color w:val="auto"/>
          <w:sz w:val="28"/>
          <w:szCs w:val="28"/>
          <w:highlight w:val="none"/>
          <w:u w:val="single"/>
        </w:rPr>
        <w:t xml:space="preserve"> </w:t>
      </w:r>
      <w:r>
        <w:rPr>
          <w:rFonts w:hint="eastAsia" w:ascii="楷体" w:hAnsi="楷体" w:eastAsia="楷体" w:cs="楷体"/>
          <w:color w:val="auto"/>
          <w:sz w:val="28"/>
          <w:szCs w:val="28"/>
          <w:highlight w:val="none"/>
          <w:u w:val="single"/>
          <w:lang w:val="en-US" w:eastAsia="zh-CN"/>
        </w:rPr>
        <w:t xml:space="preserve">   </w:t>
      </w:r>
      <w:r>
        <w:rPr>
          <w:rFonts w:hint="eastAsia" w:ascii="楷体" w:hAnsi="楷体" w:eastAsia="楷体" w:cs="楷体"/>
          <w:color w:val="auto"/>
          <w:sz w:val="28"/>
          <w:szCs w:val="28"/>
          <w:highlight w:val="none"/>
        </w:rPr>
        <w:t>元整，装修保证金</w:t>
      </w:r>
      <w:r>
        <w:rPr>
          <w:rFonts w:hint="eastAsia" w:ascii="楷体" w:hAnsi="楷体" w:eastAsia="楷体" w:cs="楷体"/>
          <w:color w:val="auto"/>
          <w:sz w:val="28"/>
          <w:szCs w:val="28"/>
          <w:highlight w:val="none"/>
          <w:u w:val="single"/>
          <w:lang w:val="en-US" w:eastAsia="zh-CN"/>
        </w:rPr>
        <w:t xml:space="preserve">   </w:t>
      </w:r>
      <w:r>
        <w:rPr>
          <w:rFonts w:hint="eastAsia" w:ascii="楷体" w:hAnsi="楷体" w:eastAsia="楷体" w:cs="楷体"/>
          <w:color w:val="auto"/>
          <w:sz w:val="28"/>
          <w:szCs w:val="28"/>
          <w:highlight w:val="none"/>
        </w:rPr>
        <w:t>元整。由乙方在本合同签订后5个工作日内向</w:t>
      </w:r>
      <w:bookmarkStart w:id="0" w:name="OLE_LINK1"/>
      <w:r>
        <w:rPr>
          <w:rFonts w:hint="eastAsia" w:ascii="楷体" w:hAnsi="楷体" w:eastAsia="楷体" w:cs="楷体"/>
          <w:color w:val="auto"/>
          <w:sz w:val="28"/>
          <w:szCs w:val="28"/>
          <w:highlight w:val="none"/>
        </w:rPr>
        <w:t>杭州产权交易所</w:t>
      </w:r>
      <w:bookmarkEnd w:id="0"/>
      <w:r>
        <w:rPr>
          <w:rFonts w:hint="eastAsia" w:ascii="楷体" w:hAnsi="楷体" w:eastAsia="楷体" w:cs="楷体"/>
          <w:color w:val="auto"/>
          <w:sz w:val="28"/>
          <w:szCs w:val="28"/>
          <w:highlight w:val="none"/>
        </w:rPr>
        <w:t>支付。（本次交易成交后，按照甲方的要求，杭州产权交易所在收到</w:t>
      </w:r>
      <w:r>
        <w:rPr>
          <w:rFonts w:hint="eastAsia" w:ascii="楷体" w:hAnsi="楷体" w:eastAsia="楷体" w:cs="楷体"/>
          <w:color w:val="auto"/>
          <w:sz w:val="28"/>
          <w:szCs w:val="28"/>
          <w:highlight w:val="none"/>
          <w:lang w:val="en-US" w:eastAsia="zh-CN"/>
        </w:rPr>
        <w:t>乙方</w:t>
      </w:r>
      <w:r>
        <w:rPr>
          <w:rFonts w:hint="eastAsia" w:ascii="楷体" w:hAnsi="楷体" w:eastAsia="楷体" w:cs="楷体"/>
          <w:color w:val="auto"/>
          <w:sz w:val="28"/>
          <w:szCs w:val="28"/>
          <w:highlight w:val="none"/>
        </w:rPr>
        <w:t>支付的款项后在甲方要求的时间内将已收款项划转至甲方指定账户。）</w:t>
      </w:r>
    </w:p>
    <w:p w14:paraId="0A26795D">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4.2.2乙方支付的履约保证金，该保证金不是乙方预付的租金、物业服务费，仅是乙方履行本合同约定的义务的担保。如乙方违反本合同的约定，甲方有权不予返还履约保证金或直接从该保证金中扣除相关费用。</w:t>
      </w:r>
    </w:p>
    <w:p w14:paraId="3B961F2B">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4.2.3 租赁期间，如果乙方有违约行为，甲方要求乙方纠正该行为并赔偿甲方损失，而乙方拒不执行的，甲方有权直接用乙方向其交纳的履约保证金抵扣（不影响甲方对乙方该等行为可行使的任何其他权利或补救办法），以补偿甲方因乙方该等行为而造成的损失或者损害，但甲方应在抵扣行为发生后5个工作日内书面告知乙方。</w:t>
      </w:r>
    </w:p>
    <w:p w14:paraId="5E7E3413">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乙方应在接到前款抵扣通知的10个工作日内把被甲方扣除部分的履约保证金重新补足并存放于甲方，甲方损失超过履约保证金的，乙方还应同时支付该部分差额；否则，甲方有权解除合同，收回物业，并有权追索相应损失。</w:t>
      </w:r>
    </w:p>
    <w:p w14:paraId="37024641">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乙方对甲方抵扣保证金有异议的，可以以书面形式向甲方提出，双方协商解决，协商不成的，适用本合同争议解决条款，但乙方提出异议不影响甲方的抵扣行为。</w:t>
      </w:r>
    </w:p>
    <w:p w14:paraId="4155CCBC">
      <w:pPr>
        <w:ind w:firstLine="560" w:firstLineChars="200"/>
        <w:rPr>
          <w:rFonts w:hint="default"/>
          <w:highlight w:val="none"/>
          <w:lang w:val="en-US" w:eastAsia="zh-CN"/>
        </w:rPr>
      </w:pPr>
      <w:r>
        <w:rPr>
          <w:rFonts w:hint="eastAsia" w:ascii="楷体" w:hAnsi="楷体" w:eastAsia="楷体" w:cs="楷体"/>
          <w:color w:val="auto"/>
          <w:sz w:val="28"/>
          <w:szCs w:val="28"/>
          <w:highlight w:val="none"/>
        </w:rPr>
        <w:t>4.2.4 本合同终止（不论何种原因），乙方</w:t>
      </w:r>
      <w:r>
        <w:rPr>
          <w:rFonts w:hint="eastAsia" w:ascii="楷体" w:hAnsi="楷体" w:eastAsia="楷体" w:cs="楷体"/>
          <w:color w:val="auto"/>
          <w:sz w:val="28"/>
          <w:szCs w:val="28"/>
          <w:highlight w:val="none"/>
          <w:lang w:val="en-US" w:eastAsia="zh-CN"/>
        </w:rPr>
        <w:t>需</w:t>
      </w:r>
      <w:r>
        <w:rPr>
          <w:rFonts w:hint="eastAsia" w:ascii="楷体" w:hAnsi="楷体" w:eastAsia="楷体" w:cs="楷体"/>
          <w:color w:val="auto"/>
          <w:sz w:val="28"/>
          <w:szCs w:val="28"/>
          <w:highlight w:val="none"/>
        </w:rPr>
        <w:t>交还该物业，且甲乙双方</w:t>
      </w:r>
      <w:r>
        <w:rPr>
          <w:rFonts w:hint="eastAsia" w:ascii="楷体" w:hAnsi="楷体" w:eastAsia="楷体" w:cs="楷体"/>
          <w:color w:val="auto"/>
          <w:sz w:val="28"/>
          <w:szCs w:val="28"/>
          <w:highlight w:val="none"/>
          <w:lang w:val="en-US" w:eastAsia="zh-CN"/>
        </w:rPr>
        <w:t>需</w:t>
      </w:r>
      <w:r>
        <w:rPr>
          <w:rFonts w:hint="eastAsia" w:ascii="楷体" w:hAnsi="楷体" w:eastAsia="楷体" w:cs="楷体"/>
          <w:color w:val="auto"/>
          <w:sz w:val="28"/>
          <w:szCs w:val="28"/>
          <w:highlight w:val="none"/>
        </w:rPr>
        <w:t>就租赁该物业而产生的一切权利和义务清理完毕并办理书面交接手续</w:t>
      </w:r>
      <w:r>
        <w:rPr>
          <w:rFonts w:hint="eastAsia" w:ascii="楷体" w:hAnsi="楷体" w:eastAsia="楷体" w:cs="楷体"/>
          <w:color w:val="auto"/>
          <w:sz w:val="28"/>
          <w:szCs w:val="28"/>
          <w:highlight w:val="none"/>
          <w:lang w:eastAsia="zh-CN"/>
        </w:rPr>
        <w:t>。</w:t>
      </w:r>
      <w:r>
        <w:rPr>
          <w:rFonts w:hint="eastAsia" w:ascii="楷体" w:hAnsi="楷体" w:eastAsia="楷体" w:cs="楷体"/>
          <w:color w:val="auto"/>
          <w:sz w:val="28"/>
          <w:szCs w:val="28"/>
          <w:highlight w:val="none"/>
          <w:lang w:val="en-US" w:eastAsia="zh-CN"/>
        </w:rPr>
        <w:t>如乙方在合同期内无违约行为，本合同终止后</w:t>
      </w:r>
      <w:r>
        <w:rPr>
          <w:rFonts w:hint="eastAsia" w:ascii="楷体" w:hAnsi="楷体" w:eastAsia="楷体" w:cs="楷体"/>
          <w:color w:val="auto"/>
          <w:sz w:val="28"/>
          <w:szCs w:val="28"/>
          <w:highlight w:val="none"/>
        </w:rPr>
        <w:t>甲方</w:t>
      </w:r>
      <w:r>
        <w:rPr>
          <w:rFonts w:hint="eastAsia" w:ascii="楷体" w:hAnsi="楷体" w:eastAsia="楷体" w:cs="楷体"/>
          <w:color w:val="auto"/>
          <w:sz w:val="28"/>
          <w:szCs w:val="28"/>
          <w:highlight w:val="none"/>
          <w:lang w:val="en-US" w:eastAsia="zh-CN"/>
        </w:rPr>
        <w:t>将剩余履约保证金无息</w:t>
      </w:r>
      <w:r>
        <w:rPr>
          <w:rFonts w:hint="eastAsia" w:ascii="楷体" w:hAnsi="楷体" w:eastAsia="楷体" w:cs="楷体"/>
          <w:color w:val="auto"/>
          <w:sz w:val="28"/>
          <w:szCs w:val="28"/>
          <w:highlight w:val="none"/>
        </w:rPr>
        <w:t>退还</w:t>
      </w:r>
      <w:r>
        <w:rPr>
          <w:rFonts w:hint="eastAsia" w:ascii="楷体" w:hAnsi="楷体" w:eastAsia="楷体" w:cs="楷体"/>
          <w:color w:val="auto"/>
          <w:sz w:val="28"/>
          <w:szCs w:val="28"/>
          <w:highlight w:val="none"/>
          <w:lang w:val="en-US" w:eastAsia="zh-CN"/>
        </w:rPr>
        <w:t>乙方</w:t>
      </w:r>
      <w:r>
        <w:rPr>
          <w:rFonts w:hint="eastAsia" w:ascii="宋体" w:hAnsi="宋体" w:eastAsia="宋体" w:cs="宋体"/>
          <w:sz w:val="18"/>
          <w:szCs w:val="18"/>
          <w:highlight w:val="none"/>
        </w:rPr>
        <w:t>。</w:t>
      </w:r>
    </w:p>
    <w:p w14:paraId="1D98863A">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4.3 物业管理及物业服务费</w:t>
      </w:r>
    </w:p>
    <w:p w14:paraId="6F405114">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4.3.1该物业区域的物业管理由乙方自行管理并与甲方签订涉及消防、治安、卫生、食品安全、装修管理、商户文明公约等相关物业管理规约并承担相应的费用。</w:t>
      </w:r>
    </w:p>
    <w:p w14:paraId="74F4C48A">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4.4其他费用</w:t>
      </w:r>
    </w:p>
    <w:p w14:paraId="130D2C83">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乙方须自行负担与该物业有关的电话费、水费、电费、垃圾清运费及其他营运等费用。该部分费用根据相应收费主体的要求和标准由乙方直接支付，若乙方未能按期足额支付的，则甲方有权代付后向乙方追偿或从保证金中抵扣。</w:t>
      </w:r>
    </w:p>
    <w:p w14:paraId="55063E2C">
      <w:pPr>
        <w:snapToGrid w:val="0"/>
        <w:spacing w:line="360" w:lineRule="auto"/>
        <w:ind w:left="38" w:leftChars="18" w:firstLine="560" w:firstLineChars="200"/>
        <w:jc w:val="left"/>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4.5 乙方依据本合同应支付的租金分期按时缴入甲方指定的银行账户,或将支票送至本合同列明之甲方所在地址或甲方书面通知的其他地址,甲方核实收妥乙方交纳款项后,由甲方向乙方出具发票或收款凭证。</w:t>
      </w:r>
    </w:p>
    <w:p w14:paraId="3B315D82">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乙方租金缴入甲方指定银行账户如下：</w:t>
      </w:r>
    </w:p>
    <w:p w14:paraId="05058C72">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开户银行：</w:t>
      </w:r>
      <w:r>
        <w:rPr>
          <w:rFonts w:hint="eastAsia" w:ascii="楷体" w:hAnsi="楷体" w:eastAsia="楷体" w:cs="楷体"/>
          <w:sz w:val="28"/>
          <w:szCs w:val="28"/>
        </w:rPr>
        <w:t>工行杭州江城支行</w:t>
      </w:r>
    </w:p>
    <w:p w14:paraId="03360093">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收款人名称：</w:t>
      </w:r>
      <w:r>
        <w:rPr>
          <w:rFonts w:hint="eastAsia" w:ascii="楷体" w:hAnsi="楷体" w:eastAsia="楷体" w:cs="楷体"/>
          <w:sz w:val="28"/>
          <w:szCs w:val="28"/>
        </w:rPr>
        <w:t>杭州市邻居中心管理有限公司</w:t>
      </w:r>
    </w:p>
    <w:p w14:paraId="1B864C33">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银行账号：</w:t>
      </w:r>
      <w:r>
        <w:rPr>
          <w:rFonts w:ascii="楷体" w:hAnsi="楷体" w:eastAsia="楷体" w:cs="楷体"/>
          <w:sz w:val="28"/>
          <w:szCs w:val="28"/>
        </w:rPr>
        <w:t>1202020309900312009</w:t>
      </w:r>
      <w:r>
        <w:rPr>
          <w:rFonts w:hint="eastAsia" w:ascii="楷体" w:hAnsi="楷体" w:eastAsia="楷体" w:cs="楷体"/>
          <w:sz w:val="28"/>
          <w:szCs w:val="28"/>
        </w:rPr>
        <w:t xml:space="preserve"> </w:t>
      </w:r>
      <w:r>
        <w:rPr>
          <w:rFonts w:hint="eastAsia" w:ascii="楷体" w:hAnsi="楷体" w:eastAsia="楷体" w:cs="楷体"/>
          <w:color w:val="auto"/>
          <w:sz w:val="28"/>
          <w:szCs w:val="28"/>
          <w:highlight w:val="none"/>
        </w:rPr>
        <w:t xml:space="preserve"> </w:t>
      </w:r>
    </w:p>
    <w:p w14:paraId="2FA8C6B6">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若乙方为增值税小规模纳税人或个体工商户的，甲方开具增值税普通发票；若乙方为增值税一般纳税人的，甲方开具增值税专用发票，乙方增值税专用发票的开票信息如下：</w:t>
      </w:r>
    </w:p>
    <w:p w14:paraId="25AE3669">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单位名称：</w:t>
      </w:r>
      <w:r>
        <w:rPr>
          <w:rFonts w:hint="eastAsia" w:ascii="楷体" w:hAnsi="楷体" w:eastAsia="楷体" w:cs="楷体"/>
          <w:color w:val="auto"/>
          <w:sz w:val="28"/>
          <w:szCs w:val="28"/>
          <w:highlight w:val="none"/>
          <w:u w:val="single"/>
          <w:lang w:val="en-US" w:eastAsia="zh-CN"/>
        </w:rPr>
        <w:t xml:space="preserve">            </w:t>
      </w:r>
    </w:p>
    <w:p w14:paraId="011D0C18">
      <w:pPr>
        <w:ind w:firstLine="560" w:firstLineChars="200"/>
        <w:rPr>
          <w:rFonts w:hint="default" w:ascii="楷体" w:hAnsi="楷体" w:eastAsia="楷体" w:cs="楷体"/>
          <w:color w:val="auto"/>
          <w:sz w:val="28"/>
          <w:szCs w:val="28"/>
          <w:highlight w:val="none"/>
          <w:lang w:val="en-US" w:eastAsia="zh-CN"/>
        </w:rPr>
      </w:pPr>
      <w:r>
        <w:rPr>
          <w:rFonts w:hint="eastAsia" w:ascii="楷体" w:hAnsi="楷体" w:eastAsia="楷体" w:cs="楷体"/>
          <w:color w:val="auto"/>
          <w:sz w:val="28"/>
          <w:szCs w:val="28"/>
          <w:highlight w:val="none"/>
        </w:rPr>
        <w:t>纳税人识别号：</w:t>
      </w:r>
      <w:r>
        <w:rPr>
          <w:rFonts w:hint="eastAsia" w:ascii="楷体" w:hAnsi="楷体" w:eastAsia="楷体" w:cs="楷体"/>
          <w:color w:val="auto"/>
          <w:sz w:val="28"/>
          <w:szCs w:val="28"/>
          <w:highlight w:val="none"/>
          <w:u w:val="single"/>
        </w:rPr>
        <w:t xml:space="preserve"> </w:t>
      </w:r>
      <w:r>
        <w:rPr>
          <w:rFonts w:hint="eastAsia" w:ascii="楷体" w:hAnsi="楷体" w:eastAsia="楷体" w:cs="楷体"/>
          <w:color w:val="auto"/>
          <w:sz w:val="28"/>
          <w:szCs w:val="28"/>
          <w:highlight w:val="none"/>
          <w:u w:val="single"/>
          <w:lang w:val="en-US" w:eastAsia="zh-CN"/>
        </w:rPr>
        <w:t xml:space="preserve">            </w:t>
      </w:r>
    </w:p>
    <w:p w14:paraId="1B7D0E76">
      <w:pPr>
        <w:ind w:firstLine="560" w:firstLineChars="200"/>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rPr>
        <w:t>注册地址及联系电话：</w:t>
      </w:r>
      <w:r>
        <w:rPr>
          <w:rFonts w:hint="eastAsia" w:ascii="楷体" w:hAnsi="楷体" w:eastAsia="楷体" w:cs="楷体"/>
          <w:color w:val="auto"/>
          <w:sz w:val="28"/>
          <w:szCs w:val="28"/>
          <w:highlight w:val="none"/>
          <w:u w:val="single"/>
          <w:lang w:val="en-US" w:eastAsia="zh-CN"/>
        </w:rPr>
        <w:t xml:space="preserve">            </w:t>
      </w:r>
    </w:p>
    <w:p w14:paraId="09A90A8D">
      <w:pPr>
        <w:ind w:firstLine="560" w:firstLineChars="200"/>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rPr>
        <w:t>开户银行及账号：</w:t>
      </w:r>
      <w:r>
        <w:rPr>
          <w:rFonts w:hint="eastAsia" w:ascii="楷体" w:hAnsi="楷体" w:eastAsia="楷体" w:cs="楷体"/>
          <w:color w:val="auto"/>
          <w:sz w:val="28"/>
          <w:szCs w:val="28"/>
          <w:highlight w:val="none"/>
          <w:u w:val="single"/>
          <w:lang w:val="en-US" w:eastAsia="zh-CN"/>
        </w:rPr>
        <w:t xml:space="preserve">            </w:t>
      </w:r>
    </w:p>
    <w:p w14:paraId="57244ED7">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乙方应确保以上开票信息真实、准确，否则由此产生的责任由乙方自行承担。乙方为增值税一般纳税人的，不论任何原因导致</w:t>
      </w:r>
      <w:r>
        <w:rPr>
          <w:rFonts w:hint="eastAsia" w:ascii="楷体" w:hAnsi="楷体" w:eastAsia="楷体" w:cs="楷体"/>
          <w:color w:val="auto"/>
          <w:sz w:val="28"/>
          <w:szCs w:val="28"/>
          <w:highlight w:val="none"/>
          <w:lang w:val="en-US" w:eastAsia="zh-CN"/>
        </w:rPr>
        <w:t>本</w:t>
      </w:r>
      <w:r>
        <w:rPr>
          <w:rFonts w:hint="eastAsia" w:ascii="楷体" w:hAnsi="楷体" w:eastAsia="楷体" w:cs="楷体"/>
          <w:color w:val="auto"/>
          <w:sz w:val="28"/>
          <w:szCs w:val="28"/>
          <w:highlight w:val="none"/>
        </w:rPr>
        <w:t>合同无效、解除、撤销等甲方需退还租金的，或者按照</w:t>
      </w:r>
      <w:r>
        <w:rPr>
          <w:rFonts w:hint="eastAsia" w:ascii="楷体" w:hAnsi="楷体" w:eastAsia="楷体" w:cs="楷体"/>
          <w:color w:val="auto"/>
          <w:sz w:val="28"/>
          <w:szCs w:val="28"/>
          <w:highlight w:val="none"/>
          <w:lang w:val="en-US" w:eastAsia="zh-CN"/>
        </w:rPr>
        <w:t>本</w:t>
      </w:r>
      <w:r>
        <w:rPr>
          <w:rFonts w:hint="eastAsia" w:ascii="楷体" w:hAnsi="楷体" w:eastAsia="楷体" w:cs="楷体"/>
          <w:color w:val="auto"/>
          <w:sz w:val="28"/>
          <w:szCs w:val="28"/>
          <w:highlight w:val="none"/>
        </w:rPr>
        <w:t>合同约定甲方需返还部分租金的，甲方在乙方按现行规定配合办理红字增值税专用发票开具及履行本合同约定的其他义务后，向乙方退还相应租金。若乙方未配合办理增值税专用发票有关手续的，甲方有权不予退还相应租金。</w:t>
      </w:r>
    </w:p>
    <w:p w14:paraId="6BD9F497">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第五条</w:t>
      </w:r>
      <w:r>
        <w:rPr>
          <w:rFonts w:hint="eastAsia" w:ascii="楷体" w:hAnsi="楷体" w:eastAsia="楷体" w:cs="楷体"/>
          <w:color w:val="auto"/>
          <w:sz w:val="28"/>
          <w:szCs w:val="28"/>
          <w:highlight w:val="none"/>
        </w:rPr>
        <w:tab/>
      </w:r>
      <w:r>
        <w:rPr>
          <w:rFonts w:hint="eastAsia" w:ascii="楷体" w:hAnsi="楷体" w:eastAsia="楷体" w:cs="楷体"/>
          <w:color w:val="auto"/>
          <w:sz w:val="28"/>
          <w:szCs w:val="28"/>
          <w:highlight w:val="none"/>
        </w:rPr>
        <w:t>物业交付与验收</w:t>
      </w:r>
    </w:p>
    <w:p w14:paraId="72BCAE66">
      <w:pPr>
        <w:ind w:firstLine="560" w:firstLineChars="200"/>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rPr>
        <w:t>5.1 该物业的交付日期预计为</w:t>
      </w:r>
      <w:r>
        <w:rPr>
          <w:rFonts w:hint="eastAsia" w:ascii="楷体" w:hAnsi="楷体" w:eastAsia="楷体" w:cs="楷体"/>
          <w:color w:val="auto"/>
          <w:sz w:val="28"/>
          <w:szCs w:val="28"/>
          <w:highlight w:val="none"/>
          <w:u w:val="single"/>
        </w:rPr>
        <w:t xml:space="preserve"> </w:t>
      </w:r>
      <w:r>
        <w:rPr>
          <w:rFonts w:hint="eastAsia" w:ascii="楷体" w:hAnsi="楷体" w:eastAsia="楷体" w:cs="楷体"/>
          <w:color w:val="auto"/>
          <w:sz w:val="28"/>
          <w:szCs w:val="28"/>
          <w:highlight w:val="none"/>
          <w:u w:val="single"/>
          <w:lang w:val="en-US" w:eastAsia="zh-CN"/>
        </w:rPr>
        <w:t xml:space="preserve">   </w:t>
      </w:r>
      <w:r>
        <w:rPr>
          <w:rFonts w:hint="eastAsia" w:ascii="楷体" w:hAnsi="楷体" w:eastAsia="楷体" w:cs="楷体"/>
          <w:color w:val="auto"/>
          <w:sz w:val="28"/>
          <w:szCs w:val="28"/>
          <w:highlight w:val="none"/>
          <w:u w:val="single"/>
        </w:rPr>
        <w:t xml:space="preserve">年 </w:t>
      </w:r>
      <w:r>
        <w:rPr>
          <w:rFonts w:hint="eastAsia" w:ascii="楷体" w:hAnsi="楷体" w:eastAsia="楷体" w:cs="楷体"/>
          <w:color w:val="auto"/>
          <w:sz w:val="28"/>
          <w:szCs w:val="28"/>
          <w:highlight w:val="none"/>
          <w:u w:val="single"/>
          <w:lang w:val="en-US" w:eastAsia="zh-CN"/>
        </w:rPr>
        <w:t xml:space="preserve"> </w:t>
      </w:r>
      <w:r>
        <w:rPr>
          <w:rFonts w:hint="eastAsia" w:ascii="楷体" w:hAnsi="楷体" w:eastAsia="楷体" w:cs="楷体"/>
          <w:color w:val="auto"/>
          <w:sz w:val="28"/>
          <w:szCs w:val="28"/>
          <w:highlight w:val="none"/>
          <w:u w:val="single"/>
        </w:rPr>
        <w:t xml:space="preserve">月 </w:t>
      </w:r>
      <w:r>
        <w:rPr>
          <w:rFonts w:hint="eastAsia" w:ascii="楷体" w:hAnsi="楷体" w:eastAsia="楷体" w:cs="楷体"/>
          <w:color w:val="auto"/>
          <w:sz w:val="28"/>
          <w:szCs w:val="28"/>
          <w:highlight w:val="none"/>
          <w:u w:val="single"/>
          <w:lang w:val="en-US" w:eastAsia="zh-CN"/>
        </w:rPr>
        <w:t xml:space="preserve">  </w:t>
      </w:r>
      <w:r>
        <w:rPr>
          <w:rFonts w:hint="eastAsia" w:ascii="楷体" w:hAnsi="楷体" w:eastAsia="楷体" w:cs="楷体"/>
          <w:color w:val="auto"/>
          <w:sz w:val="28"/>
          <w:szCs w:val="28"/>
          <w:highlight w:val="none"/>
          <w:u w:val="single"/>
        </w:rPr>
        <w:t>日</w:t>
      </w:r>
      <w:r>
        <w:rPr>
          <w:rFonts w:hint="eastAsia" w:ascii="楷体" w:hAnsi="楷体" w:eastAsia="楷体" w:cs="楷体"/>
          <w:color w:val="auto"/>
          <w:sz w:val="28"/>
          <w:szCs w:val="28"/>
          <w:highlight w:val="none"/>
        </w:rPr>
        <w:t>，甲方应当于该日期前交付该物业，具体交付时间由甲方另行通知。如因甲方原因延迟物业交付时间，延迟时间不超过六十个工作日时，不视为甲方违约。延迟交付时，以实际交付日的次日为租赁起始日，实际计租日期相应顺延，具体以租金明细表为准。</w:t>
      </w:r>
    </w:p>
    <w:p w14:paraId="16ABFFA4">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乙方接到甲方书面通知后，须在五个工作日内办理交接手续。超过五个工作日未办理手续视同接受，甲方有权要求乙方按正常交付情况下乙方应当支付的费用支付相关费用。超过三十天仍未办理交付手续的，则甲方有权解除本合同，乙方缴纳的</w:t>
      </w:r>
      <w:r>
        <w:rPr>
          <w:rFonts w:hint="eastAsia" w:ascii="楷体" w:hAnsi="楷体" w:eastAsia="楷体" w:cs="楷体"/>
          <w:color w:val="auto"/>
          <w:sz w:val="28"/>
          <w:szCs w:val="28"/>
          <w:highlight w:val="none"/>
          <w:lang w:val="en-US" w:eastAsia="zh-CN"/>
        </w:rPr>
        <w:t>履约</w:t>
      </w:r>
      <w:r>
        <w:rPr>
          <w:rFonts w:hint="eastAsia" w:ascii="楷体" w:hAnsi="楷体" w:eastAsia="楷体" w:cs="楷体"/>
          <w:color w:val="auto"/>
          <w:sz w:val="28"/>
          <w:szCs w:val="28"/>
          <w:highlight w:val="none"/>
        </w:rPr>
        <w:t>保证金不予返还，并有权追索因乙方的该等行为所造成的一切损失。</w:t>
      </w:r>
    </w:p>
    <w:p w14:paraId="0B5293EA">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5.2 甲乙双方交付、接收该物业时，应当签署一份交接凭据，交接凭据应当载明交接日期及该物业之状况；签署了交接凭据或乙方已实际取得该物业使用权（或取得物业钥匙），则甲乙双方的交付、接收义务已经完成。</w:t>
      </w:r>
    </w:p>
    <w:p w14:paraId="5F3A8485">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5.3 乙方有权并应该在交付日期前详细查看该物业现状及设施。</w:t>
      </w:r>
    </w:p>
    <w:p w14:paraId="66AAEFFA">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5.4 乙方接收该物业时，应当检查该物业；如果乙方认为该物业存在缺陷，应当于接收后5个工作日内书面通知甲方，乙方不得以质量瑕疵为由拒绝接收该物业。甲乙双方应当就该等缺陷书面记录，而甲方则应当于收到乙方书面通知后积极对有必要修复的物业或物件设施作修复。因乙方未按期通知致使该缺陷无法确认产生责任的，由乙方自行承担。</w:t>
      </w:r>
    </w:p>
    <w:p w14:paraId="3DF5D94D">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5.5乙方同意租赁物业由甲方指定的物业服务公司管理，并在交接后三日内按其现行的收费标准签订相关物业服务合同；如租赁期限内物业公司发生变更的，乙方在接到甲方书面通知后</w:t>
      </w:r>
      <w:r>
        <w:rPr>
          <w:rFonts w:hint="eastAsia" w:ascii="楷体" w:hAnsi="楷体" w:eastAsia="楷体" w:cs="楷体"/>
          <w:color w:val="auto"/>
          <w:sz w:val="28"/>
          <w:szCs w:val="28"/>
          <w:highlight w:val="none"/>
          <w:lang w:eastAsia="zh-CN"/>
        </w:rPr>
        <w:t>【</w:t>
      </w:r>
      <w:r>
        <w:rPr>
          <w:rFonts w:hint="eastAsia" w:ascii="楷体" w:hAnsi="楷体" w:eastAsia="楷体" w:cs="楷体"/>
          <w:color w:val="auto"/>
          <w:sz w:val="28"/>
          <w:szCs w:val="28"/>
          <w:highlight w:val="none"/>
          <w:lang w:val="en-US" w:eastAsia="zh-CN"/>
        </w:rPr>
        <w:t>3</w:t>
      </w:r>
      <w:r>
        <w:rPr>
          <w:rFonts w:hint="eastAsia" w:ascii="楷体" w:hAnsi="楷体" w:eastAsia="楷体" w:cs="楷体"/>
          <w:color w:val="auto"/>
          <w:sz w:val="28"/>
          <w:szCs w:val="28"/>
          <w:highlight w:val="none"/>
          <w:lang w:eastAsia="zh-CN"/>
        </w:rPr>
        <w:t>】</w:t>
      </w:r>
      <w:r>
        <w:rPr>
          <w:rFonts w:hint="eastAsia" w:ascii="楷体" w:hAnsi="楷体" w:eastAsia="楷体" w:cs="楷体"/>
          <w:color w:val="auto"/>
          <w:sz w:val="28"/>
          <w:szCs w:val="28"/>
          <w:highlight w:val="none"/>
          <w:lang w:val="en-US" w:eastAsia="zh-CN"/>
        </w:rPr>
        <w:t>日内</w:t>
      </w:r>
      <w:r>
        <w:rPr>
          <w:rFonts w:hint="eastAsia" w:ascii="楷体" w:hAnsi="楷体" w:eastAsia="楷体" w:cs="楷体"/>
          <w:color w:val="auto"/>
          <w:sz w:val="28"/>
          <w:szCs w:val="28"/>
          <w:highlight w:val="none"/>
        </w:rPr>
        <w:t>重新与变更后的物业公司签订相关物业服务合同。否则，甲方有权解除本合同，</w:t>
      </w:r>
      <w:r>
        <w:rPr>
          <w:rFonts w:hint="eastAsia" w:ascii="楷体" w:hAnsi="楷体" w:eastAsia="楷体" w:cs="楷体"/>
          <w:color w:val="auto"/>
          <w:sz w:val="28"/>
          <w:szCs w:val="28"/>
          <w:highlight w:val="none"/>
          <w:lang w:val="en-US" w:eastAsia="zh-CN"/>
        </w:rPr>
        <w:t>并有权依据本合同第10.3条b款之约定，要求乙方承担违约责任。</w:t>
      </w:r>
      <w:r>
        <w:rPr>
          <w:rFonts w:hint="eastAsia" w:ascii="楷体" w:hAnsi="楷体" w:eastAsia="楷体" w:cs="楷体"/>
          <w:color w:val="auto"/>
          <w:sz w:val="28"/>
          <w:szCs w:val="28"/>
          <w:highlight w:val="none"/>
        </w:rPr>
        <w:t>如因此给甲方造成损失的，乙方还应承担全部赔偿责任。</w:t>
      </w:r>
    </w:p>
    <w:p w14:paraId="0764F18A">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5.6租赁物业的水、电等费用由乙方承担，甲方或物业服务公司垫付的，乙方应在收到甲方或物业服务公司书面通知之日起三日内支付，逾期支付的，</w:t>
      </w:r>
      <w:r>
        <w:rPr>
          <w:rFonts w:hint="eastAsia" w:ascii="楷体" w:hAnsi="楷体" w:eastAsia="楷体" w:cs="楷体"/>
          <w:color w:val="auto"/>
          <w:sz w:val="28"/>
          <w:szCs w:val="28"/>
          <w:highlight w:val="none"/>
          <w:lang w:val="en-US" w:eastAsia="zh-CN"/>
        </w:rPr>
        <w:t>甲方有权优先从履约保证金中予以扣除。</w:t>
      </w:r>
    </w:p>
    <w:p w14:paraId="1AB985F9">
      <w:pPr>
        <w:rPr>
          <w:rFonts w:ascii="楷体" w:hAnsi="楷体" w:eastAsia="楷体" w:cs="楷体"/>
          <w:color w:val="auto"/>
          <w:sz w:val="28"/>
          <w:szCs w:val="28"/>
          <w:highlight w:val="none"/>
        </w:rPr>
      </w:pPr>
    </w:p>
    <w:p w14:paraId="4A7ECE66">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第六条    转租、转让和续租</w:t>
      </w:r>
    </w:p>
    <w:p w14:paraId="4DE931C5">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6.1 租赁期内，未经甲方书面同意，乙方不得单方面改变经营业态，也不得对所租赁的物业进行整体转让、转包、分租、转租。乙方擅自采取上述行动的，甲方有权解除本合同，</w:t>
      </w:r>
      <w:r>
        <w:rPr>
          <w:rFonts w:hint="eastAsia" w:ascii="楷体" w:hAnsi="楷体" w:eastAsia="楷体" w:cs="楷体"/>
          <w:color w:val="auto"/>
          <w:sz w:val="28"/>
          <w:szCs w:val="28"/>
          <w:highlight w:val="none"/>
          <w:lang w:val="en-US" w:eastAsia="zh-CN"/>
        </w:rPr>
        <w:t>并有权依据本合同第10.3条b款之约定，要求乙方承担违约责任</w:t>
      </w:r>
      <w:r>
        <w:rPr>
          <w:rFonts w:hint="eastAsia" w:ascii="楷体" w:hAnsi="楷体" w:eastAsia="楷体" w:cs="楷体"/>
          <w:color w:val="auto"/>
          <w:sz w:val="28"/>
          <w:szCs w:val="28"/>
          <w:highlight w:val="none"/>
        </w:rPr>
        <w:t>。如因此给甲方造成损失的，乙方还应承担全部赔偿责任。</w:t>
      </w:r>
    </w:p>
    <w:p w14:paraId="7A6EC68A">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lang w:eastAsia="zh-Hans"/>
        </w:rPr>
        <w:t>经甲方书面同意，乙方可以将部分或者全部物业</w:t>
      </w:r>
      <w:r>
        <w:rPr>
          <w:rFonts w:hint="eastAsia" w:ascii="楷体" w:hAnsi="楷体" w:eastAsia="楷体" w:cs="楷体"/>
          <w:color w:val="auto"/>
          <w:sz w:val="28"/>
          <w:szCs w:val="28"/>
          <w:highlight w:val="none"/>
        </w:rPr>
        <w:t>转租、分租，</w:t>
      </w:r>
      <w:r>
        <w:rPr>
          <w:rFonts w:hint="eastAsia" w:ascii="楷体" w:hAnsi="楷体" w:eastAsia="楷体" w:cs="楷体"/>
          <w:color w:val="auto"/>
          <w:sz w:val="28"/>
          <w:szCs w:val="28"/>
          <w:highlight w:val="none"/>
          <w:lang w:eastAsia="zh-Hans"/>
        </w:rPr>
        <w:t>但应当向甲方支付相当于</w:t>
      </w:r>
      <w:r>
        <w:rPr>
          <w:rFonts w:hint="eastAsia" w:ascii="楷体" w:hAnsi="楷体" w:eastAsia="楷体" w:cs="楷体"/>
          <w:color w:val="auto"/>
          <w:sz w:val="28"/>
          <w:szCs w:val="28"/>
          <w:highlight w:val="none"/>
        </w:rPr>
        <w:t>本期</w:t>
      </w:r>
      <w:r>
        <w:rPr>
          <w:rFonts w:hint="eastAsia" w:ascii="楷体" w:hAnsi="楷体" w:eastAsia="楷体" w:cs="楷体"/>
          <w:color w:val="auto"/>
          <w:sz w:val="28"/>
          <w:szCs w:val="28"/>
          <w:highlight w:val="none"/>
          <w:lang w:eastAsia="zh-Hans"/>
        </w:rPr>
        <w:t>月租金标准的</w:t>
      </w:r>
      <w:r>
        <w:rPr>
          <w:rFonts w:hint="eastAsia" w:ascii="楷体" w:hAnsi="楷体" w:eastAsia="楷体" w:cs="楷体"/>
          <w:color w:val="auto"/>
          <w:sz w:val="28"/>
          <w:szCs w:val="28"/>
          <w:highlight w:val="none"/>
          <w:u w:val="single"/>
          <w:lang w:eastAsia="zh-Hans"/>
        </w:rPr>
        <w:t>【</w:t>
      </w:r>
      <w:r>
        <w:rPr>
          <w:rFonts w:hint="eastAsia" w:ascii="楷体" w:hAnsi="楷体" w:eastAsia="楷体" w:cs="楷体"/>
          <w:color w:val="auto"/>
          <w:sz w:val="28"/>
          <w:szCs w:val="28"/>
          <w:highlight w:val="none"/>
          <w:u w:val="single"/>
          <w:lang w:val="en-US" w:eastAsia="zh-CN"/>
        </w:rPr>
        <w:t>1</w:t>
      </w:r>
      <w:r>
        <w:rPr>
          <w:rFonts w:hint="eastAsia" w:ascii="楷体" w:hAnsi="楷体" w:eastAsia="楷体" w:cs="楷体"/>
          <w:color w:val="auto"/>
          <w:sz w:val="28"/>
          <w:szCs w:val="28"/>
          <w:highlight w:val="none"/>
          <w:u w:val="single"/>
          <w:lang w:eastAsia="zh-Hans"/>
        </w:rPr>
        <w:t>个月】</w:t>
      </w:r>
      <w:r>
        <w:rPr>
          <w:rFonts w:hint="eastAsia" w:ascii="楷体" w:hAnsi="楷体" w:eastAsia="楷体" w:cs="楷体"/>
          <w:color w:val="auto"/>
          <w:sz w:val="28"/>
          <w:szCs w:val="28"/>
          <w:highlight w:val="none"/>
          <w:lang w:eastAsia="zh-Hans"/>
        </w:rPr>
        <w:t>的转租</w:t>
      </w:r>
      <w:r>
        <w:rPr>
          <w:rFonts w:hint="eastAsia" w:ascii="楷体" w:hAnsi="楷体" w:eastAsia="楷体" w:cs="楷体"/>
          <w:color w:val="auto"/>
          <w:sz w:val="28"/>
          <w:szCs w:val="28"/>
          <w:highlight w:val="none"/>
        </w:rPr>
        <w:t>保证金</w:t>
      </w:r>
      <w:r>
        <w:rPr>
          <w:rFonts w:hint="eastAsia" w:ascii="楷体" w:hAnsi="楷体" w:eastAsia="楷体" w:cs="楷体"/>
          <w:color w:val="auto"/>
          <w:sz w:val="28"/>
          <w:szCs w:val="28"/>
          <w:highlight w:val="none"/>
          <w:lang w:eastAsia="zh-Hans"/>
        </w:rPr>
        <w:t>。</w:t>
      </w:r>
      <w:r>
        <w:rPr>
          <w:rFonts w:hint="eastAsia" w:ascii="楷体" w:hAnsi="楷体" w:eastAsia="楷体" w:cs="楷体"/>
          <w:color w:val="auto"/>
          <w:sz w:val="28"/>
          <w:szCs w:val="28"/>
          <w:highlight w:val="none"/>
        </w:rPr>
        <w:t>乙方</w:t>
      </w:r>
      <w:r>
        <w:rPr>
          <w:rFonts w:hint="eastAsia" w:ascii="楷体" w:hAnsi="楷体" w:eastAsia="楷体" w:cs="楷体"/>
          <w:color w:val="auto"/>
          <w:sz w:val="28"/>
          <w:szCs w:val="28"/>
          <w:highlight w:val="none"/>
          <w:lang w:val="en-US" w:eastAsia="zh-CN"/>
        </w:rPr>
        <w:t>与第三方的</w:t>
      </w:r>
      <w:r>
        <w:rPr>
          <w:rFonts w:hint="eastAsia" w:ascii="楷体" w:hAnsi="楷体" w:eastAsia="楷体" w:cs="楷体"/>
          <w:color w:val="auto"/>
          <w:sz w:val="28"/>
          <w:szCs w:val="28"/>
          <w:highlight w:val="none"/>
        </w:rPr>
        <w:t>转租</w:t>
      </w:r>
      <w:r>
        <w:rPr>
          <w:rFonts w:hint="eastAsia" w:ascii="楷体" w:hAnsi="楷体" w:eastAsia="楷体" w:cs="楷体"/>
          <w:color w:val="auto"/>
          <w:sz w:val="28"/>
          <w:szCs w:val="28"/>
          <w:highlight w:val="none"/>
          <w:lang w:val="en-US" w:eastAsia="zh-CN"/>
        </w:rPr>
        <w:t>合同终止</w:t>
      </w:r>
      <w:r>
        <w:rPr>
          <w:rFonts w:hint="eastAsia" w:ascii="楷体" w:hAnsi="楷体" w:eastAsia="楷体" w:cs="楷体"/>
          <w:color w:val="auto"/>
          <w:sz w:val="28"/>
          <w:szCs w:val="28"/>
          <w:highlight w:val="none"/>
        </w:rPr>
        <w:t>后，乙方须提供包括但不限于：与转租方解约合同、注销该地址营业执照等相关证明材料，经甲方审核确认后，该笔转租保证金无息退还。</w:t>
      </w:r>
    </w:p>
    <w:p w14:paraId="52FE8F00">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6.2甲方有权携同该物业未来的任何意向租户或有关人士在租赁期结束前或提前结束前的4个月内的所有合理时间内，预先通知乙方后勘察该物业，乙方不得阻扰</w:t>
      </w:r>
      <w:r>
        <w:rPr>
          <w:rFonts w:hint="eastAsia" w:ascii="楷体" w:hAnsi="楷体" w:eastAsia="楷体" w:cs="楷体"/>
          <w:color w:val="auto"/>
          <w:sz w:val="28"/>
          <w:szCs w:val="28"/>
          <w:highlight w:val="none"/>
          <w:lang w:eastAsia="zh-CN"/>
        </w:rPr>
        <w:t>，</w:t>
      </w:r>
      <w:r>
        <w:rPr>
          <w:rFonts w:hint="eastAsia" w:ascii="楷体" w:hAnsi="楷体" w:eastAsia="楷体" w:cs="楷体"/>
          <w:color w:val="auto"/>
          <w:sz w:val="28"/>
          <w:szCs w:val="28"/>
          <w:highlight w:val="none"/>
          <w:lang w:val="en-US" w:eastAsia="zh-CN"/>
        </w:rPr>
        <w:t>且</w:t>
      </w:r>
      <w:r>
        <w:rPr>
          <w:rFonts w:hint="eastAsia" w:ascii="楷体" w:hAnsi="楷体" w:eastAsia="楷体" w:cs="楷体"/>
          <w:color w:val="auto"/>
          <w:sz w:val="28"/>
          <w:szCs w:val="28"/>
          <w:highlight w:val="none"/>
        </w:rPr>
        <w:t>应予以配合，但甲方的该等行为不得干扰乙方的正常经营活动。</w:t>
      </w:r>
    </w:p>
    <w:p w14:paraId="4772E5F4">
      <w:pPr>
        <w:ind w:firstLine="560" w:firstLineChars="200"/>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rPr>
        <w:t>6.3在租赁期限内，如甲方将租赁物业用于抵押给金融机构或其他债权人的，乙方同意按金融机构或其他债权人的要求出具相关承诺，以便于甲方办理抵押登记手续。如乙方不同意出具相关承诺而导致不能办理抵押手续的，甲方有权提前解除本合同，没收乙方全部保证金。</w:t>
      </w:r>
    </w:p>
    <w:p w14:paraId="4F029688">
      <w:pPr>
        <w:ind w:firstLine="560" w:firstLineChars="200"/>
        <w:rPr>
          <w:rFonts w:hint="default" w:ascii="楷体" w:hAnsi="楷体" w:eastAsia="楷体" w:cs="楷体"/>
          <w:color w:val="auto"/>
          <w:sz w:val="28"/>
          <w:szCs w:val="28"/>
          <w:highlight w:val="none"/>
          <w:lang w:val="en-US" w:eastAsia="zh-CN"/>
        </w:rPr>
      </w:pPr>
      <w:r>
        <w:rPr>
          <w:rFonts w:hint="eastAsia" w:ascii="楷体" w:hAnsi="楷体" w:eastAsia="楷体" w:cs="楷体"/>
          <w:color w:val="auto"/>
          <w:sz w:val="28"/>
          <w:szCs w:val="28"/>
          <w:highlight w:val="none"/>
          <w:lang w:val="en-US" w:eastAsia="zh-CN"/>
        </w:rPr>
        <w:t>6.4乙方需继续承租该房屋的，则应于租赁期满届前【2】个月，向甲方提出承租书面要求，在符合国有资产招租管理规定的前提下，经甲方书面同意后，方可按相关制度及流程予以实施。但若在租赁期限届满后该房屋的出租进行公开挂牌招租的，则乙方优先承租权的行使应遵守届时挂牌程序和文件的要求，乙方对此不存有任何异议且不得以任何侵害乙方优先续租权的理由向甲方提出异议。如乙方在租赁期内发生本合同约定的任一违约情形，则乙方丧失优先承租的权利。</w:t>
      </w:r>
    </w:p>
    <w:p w14:paraId="036802E7">
      <w:pPr>
        <w:rPr>
          <w:rFonts w:ascii="楷体" w:hAnsi="楷体" w:eastAsia="楷体" w:cs="楷体"/>
          <w:color w:val="auto"/>
          <w:sz w:val="28"/>
          <w:szCs w:val="28"/>
          <w:highlight w:val="none"/>
        </w:rPr>
      </w:pPr>
    </w:p>
    <w:p w14:paraId="43DFF6C5">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第七条    物业交还</w:t>
      </w:r>
    </w:p>
    <w:p w14:paraId="05DF54D0">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7.1 交还日期及适用范围</w:t>
      </w:r>
    </w:p>
    <w:p w14:paraId="1AFED1F2">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7.1.1乙方应当于本合同约定的租期结束之日交还该物业。</w:t>
      </w:r>
    </w:p>
    <w:p w14:paraId="64134E64">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 xml:space="preserve">7.1.2 </w:t>
      </w:r>
      <w:r>
        <w:rPr>
          <w:rFonts w:hint="eastAsia" w:ascii="楷体" w:hAnsi="楷体" w:eastAsia="楷体" w:cs="楷体"/>
          <w:color w:val="auto"/>
          <w:sz w:val="28"/>
          <w:szCs w:val="28"/>
          <w:highlight w:val="none"/>
          <w:lang w:val="en-US" w:eastAsia="zh-CN"/>
        </w:rPr>
        <w:t>如本合同提前终止的</w:t>
      </w:r>
      <w:r>
        <w:rPr>
          <w:rFonts w:hint="eastAsia" w:ascii="楷体" w:hAnsi="楷体" w:eastAsia="楷体" w:cs="楷体"/>
          <w:color w:val="auto"/>
          <w:sz w:val="28"/>
          <w:szCs w:val="28"/>
          <w:highlight w:val="none"/>
        </w:rPr>
        <w:t>，则乙方应当在本合同提前终止之日起</w:t>
      </w:r>
      <w:r>
        <w:rPr>
          <w:rFonts w:ascii="楷体" w:hAnsi="楷体" w:eastAsia="楷体" w:cs="楷体"/>
          <w:color w:val="auto"/>
          <w:sz w:val="28"/>
          <w:szCs w:val="28"/>
          <w:highlight w:val="none"/>
        </w:rPr>
        <w:t>10</w:t>
      </w:r>
      <w:r>
        <w:rPr>
          <w:rFonts w:hint="eastAsia" w:ascii="楷体" w:hAnsi="楷体" w:eastAsia="楷体" w:cs="楷体"/>
          <w:color w:val="auto"/>
          <w:sz w:val="28"/>
          <w:szCs w:val="28"/>
          <w:highlight w:val="none"/>
        </w:rPr>
        <w:t>个工作日内交还该物业。</w:t>
      </w:r>
    </w:p>
    <w:p w14:paraId="6150F384">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7.2 交还状况及装修和附属设施、设备的归属</w:t>
      </w:r>
    </w:p>
    <w:p w14:paraId="2E8ACBF2">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 xml:space="preserve">7.2.1租赁期满或因故解约，乙方同意所有该物业内形成附合的装饰装修物无偿归甲方所有，乙方不得拆走或损坏，并应在合同期满或解除之日前将该物业腾空交还给甲方。如有损坏，则恢复该物业为交付状态或损坏前状态的一切费用（包括但不限于拆除、重新安装、粉刷、油漆等费用）由乙方承担。乙方应交出进入该物业的所有钥匙, 并要保持该物业内甲方提供的设备处于正常可使用的实际状态（合理损耗除外）； </w:t>
      </w:r>
    </w:p>
    <w:p w14:paraId="22CBF786">
      <w:pPr>
        <w:ind w:firstLine="0" w:firstLineChars="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乙方逾期</w:t>
      </w:r>
      <w:r>
        <w:rPr>
          <w:rFonts w:hint="eastAsia" w:ascii="楷体" w:hAnsi="楷体" w:eastAsia="楷体" w:cs="楷体"/>
          <w:color w:val="auto"/>
          <w:sz w:val="28"/>
          <w:szCs w:val="28"/>
          <w:highlight w:val="none"/>
          <w:lang w:val="en-US" w:eastAsia="zh-CN"/>
        </w:rPr>
        <w:t>未</w:t>
      </w:r>
      <w:r>
        <w:rPr>
          <w:rFonts w:hint="eastAsia" w:ascii="楷体" w:hAnsi="楷体" w:eastAsia="楷体" w:cs="楷体"/>
          <w:color w:val="auto"/>
          <w:sz w:val="28"/>
          <w:szCs w:val="28"/>
          <w:highlight w:val="none"/>
        </w:rPr>
        <w:t>拆走的装修与设施、设备无偿归甲方所有，甲方不予补偿。同时，乙方不得拆除或损坏与公共设施有关的一切设备，若有违反，甲方有权按上述行为发生时的设施实际价值向乙方索赔。</w:t>
      </w:r>
    </w:p>
    <w:p w14:paraId="481207EC">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7.2.2 如果该物业交还时之状况不符合前项约定，甲方有权要求乙方采取一切措施或自行采取措施，使得该物业之状况符合前项约定，由此产生的一切费用和开支由乙方承担</w:t>
      </w:r>
      <w:r>
        <w:rPr>
          <w:rFonts w:hint="eastAsia" w:ascii="楷体" w:hAnsi="楷体" w:eastAsia="楷体" w:cs="楷体"/>
          <w:color w:val="auto"/>
          <w:sz w:val="28"/>
          <w:szCs w:val="28"/>
          <w:highlight w:val="none"/>
          <w:lang w:eastAsia="zh-CN"/>
        </w:rPr>
        <w:t>，</w:t>
      </w:r>
      <w:r>
        <w:rPr>
          <w:rFonts w:hint="eastAsia" w:ascii="楷体" w:hAnsi="楷体" w:eastAsia="楷体" w:cs="楷体"/>
          <w:color w:val="auto"/>
          <w:sz w:val="28"/>
          <w:szCs w:val="28"/>
          <w:highlight w:val="none"/>
          <w:lang w:val="en-US" w:eastAsia="zh-CN"/>
        </w:rPr>
        <w:t>否则甲方有权从履约保证金中扣除</w:t>
      </w:r>
      <w:r>
        <w:rPr>
          <w:rFonts w:hint="eastAsia" w:ascii="楷体" w:hAnsi="楷体" w:eastAsia="楷体" w:cs="楷体"/>
          <w:color w:val="auto"/>
          <w:sz w:val="28"/>
          <w:szCs w:val="28"/>
          <w:highlight w:val="none"/>
        </w:rPr>
        <w:t>。</w:t>
      </w:r>
    </w:p>
    <w:p w14:paraId="53225CE5">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7.2.3 乙方应当在本合同终止或者提前解除之日起10个工作日内注销该物业工商登记等注册情况，否则甲方有权利拒绝返还履约保证金；乙方逾期注销的，每逾期一日，按照上一月租金的0.</w:t>
      </w:r>
      <w:r>
        <w:rPr>
          <w:rFonts w:ascii="楷体" w:hAnsi="楷体" w:eastAsia="楷体" w:cs="楷体"/>
          <w:color w:val="auto"/>
          <w:sz w:val="28"/>
          <w:szCs w:val="28"/>
          <w:highlight w:val="none"/>
        </w:rPr>
        <w:t>0</w:t>
      </w:r>
      <w:r>
        <w:rPr>
          <w:rFonts w:hint="eastAsia" w:ascii="楷体" w:hAnsi="楷体" w:eastAsia="楷体" w:cs="楷体"/>
          <w:color w:val="auto"/>
          <w:sz w:val="28"/>
          <w:szCs w:val="28"/>
          <w:highlight w:val="none"/>
          <w:lang w:val="en-US" w:eastAsia="zh-CN"/>
        </w:rPr>
        <w:t>3</w:t>
      </w:r>
      <w:r>
        <w:rPr>
          <w:rFonts w:hint="eastAsia" w:ascii="楷体" w:hAnsi="楷体" w:eastAsia="楷体" w:cs="楷体"/>
          <w:color w:val="auto"/>
          <w:sz w:val="28"/>
          <w:szCs w:val="28"/>
          <w:highlight w:val="none"/>
        </w:rPr>
        <w:t>%/日的标准计算违约金。</w:t>
      </w:r>
    </w:p>
    <w:p w14:paraId="1DE83781">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7.3 交还通知、查验和接收</w:t>
      </w:r>
    </w:p>
    <w:p w14:paraId="3F0B245A">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7.3.1 租赁期届满或者因故解约（不论基于何种原因），乙方应当在合同期满或解除之日前腾空并交还租赁物业，甲方应当按照该等通知查验及接收该物业。</w:t>
      </w:r>
    </w:p>
    <w:p w14:paraId="68566943">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7.3.2 甲方应该依照通常合理的标准及本合同第7.2条约定查验该物业。</w:t>
      </w:r>
    </w:p>
    <w:p w14:paraId="121FF68F">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7.3.3 在符合本合同第7.2条约定的情形下，甲乙双方应当签署一份交还凭据，交还凭据一经签署，乙方交还该物业的义务立即完成。</w:t>
      </w:r>
    </w:p>
    <w:p w14:paraId="632695E5">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7.4 逾期交还的后果</w:t>
      </w:r>
    </w:p>
    <w:p w14:paraId="77875DAF">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乙方逾期腾空并交还物业的，应按交还物业前最后一月的租金标准向甲方支付</w:t>
      </w:r>
      <w:r>
        <w:rPr>
          <w:rFonts w:hint="eastAsia" w:ascii="楷体" w:hAnsi="楷体" w:eastAsia="楷体" w:cs="楷体"/>
          <w:color w:val="auto"/>
          <w:sz w:val="28"/>
          <w:szCs w:val="28"/>
          <w:highlight w:val="none"/>
          <w:lang w:val="en-US" w:eastAsia="zh-CN"/>
        </w:rPr>
        <w:t>1</w:t>
      </w:r>
      <w:r>
        <w:rPr>
          <w:rFonts w:hint="eastAsia" w:ascii="楷体" w:hAnsi="楷体" w:eastAsia="楷体" w:cs="楷体"/>
          <w:color w:val="auto"/>
          <w:sz w:val="28"/>
          <w:szCs w:val="28"/>
          <w:highlight w:val="none"/>
          <w:u w:val="single"/>
        </w:rPr>
        <w:t>.5</w:t>
      </w:r>
      <w:r>
        <w:rPr>
          <w:rFonts w:hint="eastAsia" w:ascii="楷体" w:hAnsi="楷体" w:eastAsia="楷体" w:cs="楷体"/>
          <w:color w:val="auto"/>
          <w:sz w:val="28"/>
          <w:szCs w:val="28"/>
          <w:highlight w:val="none"/>
        </w:rPr>
        <w:t>倍占有使用费，并向甲方赔偿由此而造成的直接损失和间接损失（包括但不限于租金、物业服务相关费用、水费、电费等其他费用及其违约金、向第三人支付的违约金以及第三人的损失），同时甲方有权没收乙方</w:t>
      </w:r>
      <w:r>
        <w:rPr>
          <w:rFonts w:hint="eastAsia" w:ascii="楷体" w:hAnsi="楷体" w:eastAsia="楷体" w:cs="楷体"/>
          <w:color w:val="auto"/>
          <w:sz w:val="28"/>
          <w:szCs w:val="28"/>
          <w:highlight w:val="none"/>
          <w:lang w:val="en-US" w:eastAsia="zh-CN"/>
        </w:rPr>
        <w:t>履约</w:t>
      </w:r>
      <w:r>
        <w:rPr>
          <w:rFonts w:hint="eastAsia" w:ascii="楷体" w:hAnsi="楷体" w:eastAsia="楷体" w:cs="楷体"/>
          <w:color w:val="auto"/>
          <w:sz w:val="28"/>
          <w:szCs w:val="28"/>
          <w:highlight w:val="none"/>
        </w:rPr>
        <w:t>保证金。</w:t>
      </w:r>
    </w:p>
    <w:p w14:paraId="5074D287">
      <w:pPr>
        <w:rPr>
          <w:rFonts w:ascii="楷体" w:hAnsi="楷体" w:eastAsia="楷体" w:cs="楷体"/>
          <w:color w:val="auto"/>
          <w:sz w:val="28"/>
          <w:szCs w:val="28"/>
          <w:highlight w:val="none"/>
        </w:rPr>
      </w:pPr>
    </w:p>
    <w:p w14:paraId="20AD8DAE">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第八条    双方相互承诺和保证</w:t>
      </w:r>
    </w:p>
    <w:p w14:paraId="7B54BCD8">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8.1 甲乙双方相互声明、承诺并保证如下：</w:t>
      </w:r>
    </w:p>
    <w:p w14:paraId="34A6F09F">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8.1.1 有权签署本合同并有能力履行其于本合同项下的义务；将签署一切必须的文件并采取一切所需的行动以使本合同约定的条款顺利履行。</w:t>
      </w:r>
    </w:p>
    <w:p w14:paraId="3C5095E6">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8.1.2 除本合同另有约定外，本合同的签署及履行不会导致违反、取消或终止任何合同、承诺或其它正式文件的任何条款和条件，或构成任何合同、承诺或者其它正式文件下的违约事项；亦不会违反任何法院判决、裁定，或任何管理机关、政府组织的规定、决定。</w:t>
      </w:r>
    </w:p>
    <w:p w14:paraId="6613387F">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8.2 甲方向乙方声明、承诺并保证如下：</w:t>
      </w:r>
    </w:p>
    <w:p w14:paraId="4904DDFA">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8.2.1 在乙方按照本合同约定交纳租金及遵守和履行所有本合同项下的承诺、约定的前提下，乙方有权在租赁期内使用及享用该物业，而不受到甲方或其代表的不合法的干扰。</w:t>
      </w:r>
    </w:p>
    <w:p w14:paraId="42BC7EB9">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8.2.2 甲方对该物业享有完全的出租及收取租金的权利。按时向政府有关部门支付所有根据法律、法规规定就该物业租赁而需甲方支付的税费。</w:t>
      </w:r>
    </w:p>
    <w:p w14:paraId="59954BDB">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8.3 乙方向甲方声明、承诺并保证如下：</w:t>
      </w:r>
    </w:p>
    <w:p w14:paraId="3B331984">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8.3.1 乙方将按照有关约定，经向甲方备案并经甲方许可后对租赁物业进行装修、改善、安装设备或增设他物。有关装修费用及由装修所产生的人员伤亡、财产损失等风险均由乙方自行承担。如由此造成甲方损失的，甲方有权没收乙方装修保证金，装修保证金不足以偿付甲方损失的，乙方</w:t>
      </w:r>
      <w:r>
        <w:rPr>
          <w:rFonts w:hint="eastAsia" w:ascii="楷体" w:hAnsi="楷体" w:eastAsia="楷体" w:cs="楷体"/>
          <w:color w:val="auto"/>
          <w:sz w:val="28"/>
          <w:szCs w:val="28"/>
          <w:highlight w:val="none"/>
          <w:lang w:val="en-US" w:eastAsia="zh-CN"/>
        </w:rPr>
        <w:t>还应承担全部赔偿责任（包括但不限于甲方为采取补救措施所支出的合理费用、</w:t>
      </w:r>
      <w:r>
        <w:rPr>
          <w:rFonts w:hint="eastAsia" w:ascii="楷体" w:hAnsi="楷体" w:eastAsia="楷体" w:cs="楷体"/>
          <w:color w:val="auto"/>
          <w:sz w:val="28"/>
          <w:szCs w:val="28"/>
          <w:highlight w:val="none"/>
        </w:rPr>
        <w:t>甲方向第三方支付的违约金或赔偿金，以及其他因乙方行为直接或间接导致的损失</w:t>
      </w:r>
      <w:r>
        <w:rPr>
          <w:rFonts w:hint="eastAsia" w:ascii="楷体" w:hAnsi="楷体" w:eastAsia="楷体" w:cs="楷体"/>
          <w:color w:val="auto"/>
          <w:sz w:val="28"/>
          <w:szCs w:val="28"/>
          <w:highlight w:val="none"/>
          <w:lang w:val="en-US" w:eastAsia="zh-CN"/>
        </w:rPr>
        <w:t>等）</w:t>
      </w:r>
      <w:r>
        <w:rPr>
          <w:rFonts w:hint="eastAsia" w:ascii="楷体" w:hAnsi="楷体" w:eastAsia="楷体" w:cs="楷体"/>
          <w:color w:val="auto"/>
          <w:sz w:val="28"/>
          <w:szCs w:val="28"/>
          <w:highlight w:val="none"/>
        </w:rPr>
        <w:t>。</w:t>
      </w:r>
    </w:p>
    <w:p w14:paraId="04C8045D">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8.3.2乙方应尽最大努力及采取合法、合理的方式使用该物业，维护甲方及该物业区域的信誉和声誉。若乙方在该物业进行任何活动、事情或其他作为或不作为违反或触犯中国有关法律、法规及政府有关部门下达的有关指令而对甲方造成任何损失，乙方应向甲方负赔偿及其他法律责任。</w:t>
      </w:r>
    </w:p>
    <w:p w14:paraId="7ADF680F">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8.3.3 乙方若收到政府有关部门就该物业发出的任何通知或法院送达的传票，应在48小时内书面方式通知到甲方。</w:t>
      </w:r>
    </w:p>
    <w:p w14:paraId="31D4D8B1">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8.3.4乙方在按照有关规定，向相关职能部门办理广告发布审批手续并承担费用后可设置店招。店招发布之前，乙方须将所有样稿、样片以书面形式报送甲方，经甲方审核、书面同意并备案后方可发布，但甲方的审批不减轻、不免除乙方应当承担的法律责任。乙方不得在物业以外的街区公共区域悬挂或张贴标识标牌及广告类宣传品。</w:t>
      </w:r>
    </w:p>
    <w:p w14:paraId="0201E915">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第九条    合同变更和解除的条件</w:t>
      </w:r>
    </w:p>
    <w:p w14:paraId="1418A99A">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9.1 变更本合同的条件如下：</w:t>
      </w:r>
    </w:p>
    <w:p w14:paraId="703A33E0">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9.1.1 租赁期限内，除本合同另有约定，如出现下述情况，双方可变更本合同：</w:t>
      </w:r>
    </w:p>
    <w:p w14:paraId="6DC66E81">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a.甲方或乙方因有特殊原因，经双方协商一致，同意变更合同的。</w:t>
      </w:r>
    </w:p>
    <w:p w14:paraId="0A4C733B">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b.出现非甲方能及的情况，使该物业设施正常运行或水、电等正常供应中断，且中断期一次超过30天，乙方认为严重影响正常使用物业的。</w:t>
      </w:r>
    </w:p>
    <w:p w14:paraId="6C09698C">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c.乙方违反本合同及其附件和补充条款的约定，且经甲方提出后的14天内乙方未予纠正的。</w:t>
      </w:r>
    </w:p>
    <w:p w14:paraId="79A10442">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d.在租赁期间，司法、行政机关依法限制该物业房地产权利，且超过30天的。</w:t>
      </w:r>
    </w:p>
    <w:p w14:paraId="2574B6FD">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e.因不可抗力或意外事件，致使该物业及其附属设施的损坏，使本合同不能继续履行的。</w:t>
      </w:r>
    </w:p>
    <w:p w14:paraId="43E7E205">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9.1.2 变更本合同的，要求变更合同的一方应主动向另一方提出。</w:t>
      </w:r>
    </w:p>
    <w:p w14:paraId="6D56F13B">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9.1.3 因变更本合同，使一方遭到损失的，有过错一方应赔偿另一方的损失。</w:t>
      </w:r>
    </w:p>
    <w:p w14:paraId="6A7797BE">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9.2 解除本合同的条件如下：</w:t>
      </w:r>
    </w:p>
    <w:p w14:paraId="35A8ECE4">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9.2.1 租赁期限内，除本合同另有约定外，如出现下述情况，可解除合同：</w:t>
      </w:r>
    </w:p>
    <w:p w14:paraId="044E9766">
      <w:pPr>
        <w:ind w:firstLine="560" w:firstLineChars="200"/>
        <w:rPr>
          <w:rFonts w:hint="default" w:ascii="楷体" w:hAnsi="楷体" w:eastAsia="楷体" w:cs="楷体"/>
          <w:color w:val="auto"/>
          <w:sz w:val="28"/>
          <w:szCs w:val="28"/>
          <w:highlight w:val="none"/>
          <w:lang w:val="en-US" w:eastAsia="zh-CN"/>
        </w:rPr>
      </w:pPr>
      <w:r>
        <w:rPr>
          <w:rFonts w:hint="eastAsia" w:ascii="楷体" w:hAnsi="楷体" w:eastAsia="楷体" w:cs="楷体"/>
          <w:color w:val="auto"/>
          <w:sz w:val="28"/>
          <w:szCs w:val="28"/>
          <w:highlight w:val="none"/>
        </w:rPr>
        <w:t>a.乙方因有特殊原因，经双方协商一致，同意解除合同的。</w:t>
      </w:r>
    </w:p>
    <w:p w14:paraId="6510997E">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b.乙方违反本合同及其附件和补充条款的约定，且经甲方提出后的30天内，乙方未予纠正的，甲方有权解除合同。</w:t>
      </w:r>
    </w:p>
    <w:p w14:paraId="0A17CD01">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c.在租赁期间，政府决定征用该物业所在土地而需拆除该物业的。</w:t>
      </w:r>
    </w:p>
    <w:p w14:paraId="6FB825DF">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d.因不可抗力或意外事件，使本合同无法履行的。</w:t>
      </w:r>
    </w:p>
    <w:p w14:paraId="0CECE5EE">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9.2.2 解除本合同的，有权解除合同的一方应主动向另一方提出。</w:t>
      </w:r>
    </w:p>
    <w:p w14:paraId="09B2D372">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9.2.3 因乙方原因解除本合同的，乙方除按照本合同约定承担相应</w:t>
      </w:r>
      <w:r>
        <w:rPr>
          <w:rFonts w:hint="eastAsia" w:ascii="楷体" w:hAnsi="楷体" w:eastAsia="楷体" w:cs="楷体"/>
          <w:color w:val="auto"/>
          <w:sz w:val="28"/>
          <w:szCs w:val="28"/>
          <w:highlight w:val="none"/>
          <w:lang w:val="en-US" w:eastAsia="zh-CN"/>
        </w:rPr>
        <w:t>违约</w:t>
      </w:r>
      <w:r>
        <w:rPr>
          <w:rFonts w:hint="eastAsia" w:ascii="楷体" w:hAnsi="楷体" w:eastAsia="楷体" w:cs="楷体"/>
          <w:color w:val="auto"/>
          <w:sz w:val="28"/>
          <w:szCs w:val="28"/>
          <w:highlight w:val="none"/>
        </w:rPr>
        <w:t>责任外，甲方有权没收全部保证金，乙方已缴纳的租金不予退还；保证金不足以偿付由此给甲方造成的损失的，乙方应赔偿甲方的损失。</w:t>
      </w:r>
    </w:p>
    <w:p w14:paraId="74A01CA1">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9.2.4 除本合同约定外，在承租期内甲方因</w:t>
      </w:r>
      <w:r>
        <w:rPr>
          <w:rFonts w:hint="eastAsia" w:ascii="楷体" w:hAnsi="楷体" w:eastAsia="楷体" w:cs="楷体"/>
          <w:color w:val="auto"/>
          <w:sz w:val="28"/>
          <w:szCs w:val="28"/>
          <w:highlight w:val="none"/>
          <w:lang w:val="en-US" w:eastAsia="zh-CN"/>
        </w:rPr>
        <w:t>特殊</w:t>
      </w:r>
      <w:r>
        <w:rPr>
          <w:rFonts w:hint="eastAsia" w:ascii="楷体" w:hAnsi="楷体" w:eastAsia="楷体" w:cs="楷体"/>
          <w:color w:val="auto"/>
          <w:sz w:val="28"/>
          <w:szCs w:val="28"/>
          <w:highlight w:val="none"/>
        </w:rPr>
        <w:t>原因需提前解除合同，应提前3个月书面通知</w:t>
      </w:r>
      <w:r>
        <w:rPr>
          <w:rFonts w:hint="eastAsia" w:ascii="楷体" w:hAnsi="楷体" w:eastAsia="楷体" w:cs="楷体"/>
          <w:color w:val="auto"/>
          <w:sz w:val="28"/>
          <w:szCs w:val="28"/>
          <w:highlight w:val="none"/>
          <w:lang w:eastAsia="zh-Hans"/>
        </w:rPr>
        <w:t>乙方</w:t>
      </w:r>
      <w:r>
        <w:rPr>
          <w:rFonts w:hint="eastAsia" w:ascii="楷体" w:hAnsi="楷体" w:eastAsia="楷体" w:cs="楷体"/>
          <w:color w:val="auto"/>
          <w:sz w:val="28"/>
          <w:szCs w:val="28"/>
          <w:highlight w:val="none"/>
        </w:rPr>
        <w:t>，</w:t>
      </w:r>
      <w:r>
        <w:rPr>
          <w:rFonts w:hint="eastAsia" w:ascii="楷体" w:hAnsi="楷体" w:eastAsia="楷体" w:cs="楷体"/>
          <w:color w:val="auto"/>
          <w:sz w:val="28"/>
          <w:szCs w:val="28"/>
          <w:highlight w:val="none"/>
          <w:lang w:eastAsia="zh-Hans"/>
        </w:rPr>
        <w:t>本</w:t>
      </w:r>
      <w:r>
        <w:rPr>
          <w:rFonts w:hint="eastAsia" w:ascii="楷体" w:hAnsi="楷体" w:eastAsia="楷体" w:cs="楷体"/>
          <w:color w:val="auto"/>
          <w:sz w:val="28"/>
          <w:szCs w:val="28"/>
          <w:highlight w:val="none"/>
        </w:rPr>
        <w:t>合同自三个月通知期届满之日（书面通知另有约定除外）解除。甲方应在乙方腾退房屋后，退还截至合同解除或乙方实际腾房（以两者较晚为准）之日乙方已缴纳但尚未实际</w:t>
      </w:r>
      <w:r>
        <w:rPr>
          <w:rFonts w:hint="eastAsia" w:ascii="楷体" w:hAnsi="楷体" w:eastAsia="楷体" w:cs="楷体"/>
          <w:color w:val="auto"/>
          <w:sz w:val="28"/>
          <w:szCs w:val="28"/>
          <w:highlight w:val="none"/>
          <w:lang w:val="en-US" w:eastAsia="zh-CN"/>
        </w:rPr>
        <w:t>使用</w:t>
      </w:r>
      <w:r>
        <w:rPr>
          <w:rFonts w:hint="eastAsia" w:ascii="楷体" w:hAnsi="楷体" w:eastAsia="楷体" w:cs="楷体"/>
          <w:color w:val="auto"/>
          <w:sz w:val="28"/>
          <w:szCs w:val="28"/>
          <w:highlight w:val="none"/>
        </w:rPr>
        <w:t>的租金（如有），并返还乙方已缴纳</w:t>
      </w:r>
      <w:r>
        <w:rPr>
          <w:rFonts w:hint="eastAsia" w:ascii="楷体" w:hAnsi="楷体" w:eastAsia="楷体" w:cs="楷体"/>
          <w:color w:val="auto"/>
          <w:sz w:val="28"/>
          <w:szCs w:val="28"/>
          <w:highlight w:val="none"/>
          <w:lang w:val="en-US" w:eastAsia="zh-CN"/>
        </w:rPr>
        <w:t>履约</w:t>
      </w:r>
      <w:r>
        <w:rPr>
          <w:rFonts w:hint="eastAsia" w:ascii="楷体" w:hAnsi="楷体" w:eastAsia="楷体" w:cs="楷体"/>
          <w:color w:val="auto"/>
          <w:sz w:val="28"/>
          <w:szCs w:val="28"/>
          <w:highlight w:val="none"/>
        </w:rPr>
        <w:t>保证金</w:t>
      </w:r>
      <w:r>
        <w:rPr>
          <w:rFonts w:hint="eastAsia" w:ascii="楷体" w:hAnsi="楷体" w:eastAsia="楷体" w:cs="楷体"/>
          <w:color w:val="auto"/>
          <w:sz w:val="28"/>
          <w:szCs w:val="28"/>
          <w:highlight w:val="none"/>
          <w:lang w:eastAsia="zh-CN"/>
        </w:rPr>
        <w:t>，</w:t>
      </w:r>
      <w:r>
        <w:rPr>
          <w:rFonts w:hint="eastAsia" w:ascii="楷体" w:hAnsi="楷体" w:eastAsia="楷体" w:cs="楷体"/>
          <w:color w:val="auto"/>
          <w:sz w:val="28"/>
          <w:szCs w:val="28"/>
          <w:highlight w:val="none"/>
        </w:rPr>
        <w:t>甲方无需承担其他违约责任或赔偿。甲方付款前，乙方应当提供相应发票或者收据，否则甲方付款时间相应顺延。</w:t>
      </w:r>
    </w:p>
    <w:p w14:paraId="5C748CB2">
      <w:pPr>
        <w:ind w:firstLine="560" w:firstLineChars="200"/>
        <w:rPr>
          <w:rFonts w:ascii="楷体" w:hAnsi="楷体" w:eastAsia="楷体" w:cs="楷体"/>
          <w:color w:val="auto"/>
          <w:sz w:val="28"/>
          <w:szCs w:val="28"/>
          <w:highlight w:val="none"/>
        </w:rPr>
      </w:pPr>
    </w:p>
    <w:p w14:paraId="2EAE3651">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第十条    违约责任</w:t>
      </w:r>
    </w:p>
    <w:p w14:paraId="0411A7C2">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10.1 违约</w:t>
      </w:r>
    </w:p>
    <w:p w14:paraId="5576C8E9">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乙方任何违反、不遵守本合同和管理守则或未履行或未完全履行其于本合同项下的责任和义务将构成乙方的违约。本合同项下所有的逾期支付行为解释为</w:t>
      </w:r>
      <w:r>
        <w:rPr>
          <w:rFonts w:hint="eastAsia" w:ascii="楷体" w:hAnsi="楷体" w:eastAsia="楷体" w:cs="楷体"/>
          <w:color w:val="auto"/>
          <w:sz w:val="28"/>
          <w:szCs w:val="28"/>
          <w:highlight w:val="none"/>
          <w:lang w:val="en-US" w:eastAsia="zh-CN"/>
        </w:rPr>
        <w:t>截止</w:t>
      </w:r>
      <w:r>
        <w:rPr>
          <w:rFonts w:hint="eastAsia" w:ascii="楷体" w:hAnsi="楷体" w:eastAsia="楷体" w:cs="楷体"/>
          <w:color w:val="auto"/>
          <w:sz w:val="28"/>
          <w:szCs w:val="28"/>
          <w:highlight w:val="none"/>
        </w:rPr>
        <w:t>合同约定的每</w:t>
      </w:r>
      <w:r>
        <w:rPr>
          <w:rFonts w:hint="eastAsia" w:ascii="楷体" w:hAnsi="楷体" w:eastAsia="楷体" w:cs="楷体"/>
          <w:color w:val="auto"/>
          <w:sz w:val="28"/>
          <w:szCs w:val="28"/>
          <w:highlight w:val="none"/>
          <w:lang w:val="en-US" w:eastAsia="zh-CN"/>
        </w:rPr>
        <w:t>期</w:t>
      </w:r>
      <w:r>
        <w:rPr>
          <w:rFonts w:hint="eastAsia" w:ascii="楷体" w:hAnsi="楷体" w:eastAsia="楷体" w:cs="楷体"/>
          <w:color w:val="auto"/>
          <w:sz w:val="28"/>
          <w:szCs w:val="28"/>
          <w:highlight w:val="none"/>
        </w:rPr>
        <w:t>租期开始之日仍未支付，视为逾期。</w:t>
      </w:r>
    </w:p>
    <w:p w14:paraId="11666ECE">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10.2 甲方的救济权</w:t>
      </w:r>
    </w:p>
    <w:p w14:paraId="5361B178">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10.2.1若发生下述任何一情形，将视为乙方实质性的违反了本合同，甲方有权提前解除本合同。</w:t>
      </w:r>
    </w:p>
    <w:p w14:paraId="5E0234ED">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（1）乙方累计1个月（以3</w:t>
      </w:r>
      <w:r>
        <w:rPr>
          <w:rFonts w:ascii="楷体" w:hAnsi="楷体" w:eastAsia="楷体" w:cs="楷体"/>
          <w:color w:val="auto"/>
          <w:sz w:val="28"/>
          <w:szCs w:val="28"/>
          <w:highlight w:val="none"/>
        </w:rPr>
        <w:t>0</w:t>
      </w:r>
      <w:r>
        <w:rPr>
          <w:rFonts w:hint="eastAsia" w:ascii="楷体" w:hAnsi="楷体" w:eastAsia="楷体" w:cs="楷体"/>
          <w:color w:val="auto"/>
          <w:sz w:val="28"/>
          <w:szCs w:val="28"/>
          <w:highlight w:val="none"/>
        </w:rPr>
        <w:t>天计）未足额或未按时支付租金、水费、电费、保证金、物业服务费或公用事业费等费用</w:t>
      </w:r>
      <w:r>
        <w:rPr>
          <w:rFonts w:hint="eastAsia" w:ascii="楷体" w:hAnsi="楷体" w:eastAsia="楷体" w:cs="楷体"/>
          <w:color w:val="auto"/>
          <w:sz w:val="28"/>
          <w:szCs w:val="28"/>
          <w:highlight w:val="none"/>
          <w:lang w:eastAsia="zh-CN"/>
        </w:rPr>
        <w:t>，</w:t>
      </w:r>
      <w:r>
        <w:rPr>
          <w:rFonts w:hint="eastAsia" w:ascii="楷体" w:hAnsi="楷体" w:eastAsia="楷体" w:cs="楷体"/>
          <w:color w:val="auto"/>
          <w:sz w:val="28"/>
          <w:szCs w:val="28"/>
          <w:highlight w:val="none"/>
        </w:rPr>
        <w:t>或者乙方未支付的租金、物业服务费和公用事业费的金额累积达到或超过</w:t>
      </w:r>
      <w:r>
        <w:rPr>
          <w:rFonts w:ascii="楷体" w:hAnsi="楷体" w:eastAsia="楷体" w:cs="楷体"/>
          <w:color w:val="auto"/>
          <w:sz w:val="28"/>
          <w:szCs w:val="28"/>
          <w:highlight w:val="none"/>
        </w:rPr>
        <w:t>1</w:t>
      </w:r>
      <w:r>
        <w:rPr>
          <w:rFonts w:hint="eastAsia" w:ascii="楷体" w:hAnsi="楷体" w:eastAsia="楷体" w:cs="楷体"/>
          <w:color w:val="auto"/>
          <w:sz w:val="28"/>
          <w:szCs w:val="28"/>
          <w:highlight w:val="none"/>
        </w:rPr>
        <w:t>个月的基本租金（以当时适用的基本租金标准计）；</w:t>
      </w:r>
    </w:p>
    <w:p w14:paraId="7B807B56">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（2）乙方未经甲方事先的书面许可而改变租赁场所的用途，或在租赁场所内从事违法经营或其他非法行为；</w:t>
      </w:r>
    </w:p>
    <w:p w14:paraId="457E55DF">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（3）乙方严重损坏租赁场所、附属设施、公共区域或公共设施；</w:t>
      </w:r>
    </w:p>
    <w:p w14:paraId="78E6A0F5">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（4）乙方的所获得的授权、许可被撤销或发生变更，且对本合同的履行造成了实质性的不利影响；</w:t>
      </w:r>
    </w:p>
    <w:p w14:paraId="35571953">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（5）乙方的清算事件；</w:t>
      </w:r>
    </w:p>
    <w:p w14:paraId="6271858D">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（6）未经甲方的事先书面许可，乙方转租</w:t>
      </w:r>
      <w:r>
        <w:rPr>
          <w:rFonts w:hint="eastAsia" w:ascii="楷体" w:hAnsi="楷体" w:eastAsia="楷体" w:cs="楷体"/>
          <w:color w:val="auto"/>
          <w:sz w:val="28"/>
          <w:szCs w:val="28"/>
          <w:highlight w:val="none"/>
          <w:lang w:eastAsia="zh-CN"/>
        </w:rPr>
        <w:t>、</w:t>
      </w:r>
      <w:r>
        <w:rPr>
          <w:rFonts w:hint="eastAsia" w:ascii="楷体" w:hAnsi="楷体" w:eastAsia="楷体" w:cs="楷体"/>
          <w:color w:val="auto"/>
          <w:sz w:val="28"/>
          <w:szCs w:val="28"/>
          <w:highlight w:val="none"/>
        </w:rPr>
        <w:t>分租或许可任何第三人使用租赁场所；</w:t>
      </w:r>
    </w:p>
    <w:p w14:paraId="452C2042">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（7）乙方的其他违约行为在乙方收到甲方发出的要求纠正该等违约行为的书面通知后的三十天内仍未予纠正的，本合同将在甲方通知送达到根据第12.1条确定的乙方的地址后终止。</w:t>
      </w:r>
    </w:p>
    <w:p w14:paraId="31795325">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10.2.</w:t>
      </w:r>
      <w:r>
        <w:rPr>
          <w:rFonts w:hint="eastAsia" w:ascii="楷体" w:hAnsi="楷体" w:eastAsia="楷体" w:cs="楷体"/>
          <w:color w:val="auto"/>
          <w:sz w:val="28"/>
          <w:szCs w:val="28"/>
          <w:highlight w:val="none"/>
          <w:lang w:val="en-US" w:eastAsia="zh-CN"/>
        </w:rPr>
        <w:t>2</w:t>
      </w:r>
      <w:r>
        <w:rPr>
          <w:rFonts w:hint="eastAsia" w:ascii="楷体" w:hAnsi="楷体" w:eastAsia="楷体" w:cs="楷体"/>
          <w:color w:val="auto"/>
          <w:sz w:val="28"/>
          <w:szCs w:val="28"/>
          <w:highlight w:val="none"/>
        </w:rPr>
        <w:t>如乙方发生因法律规定或</w:t>
      </w:r>
      <w:r>
        <w:rPr>
          <w:rFonts w:hint="eastAsia" w:ascii="楷体" w:hAnsi="楷体" w:eastAsia="楷体" w:cs="楷体"/>
          <w:color w:val="auto"/>
          <w:sz w:val="28"/>
          <w:szCs w:val="28"/>
          <w:highlight w:val="none"/>
          <w:lang w:val="en-US" w:eastAsia="zh-CN"/>
        </w:rPr>
        <w:t>本</w:t>
      </w:r>
      <w:r>
        <w:rPr>
          <w:rFonts w:hint="eastAsia" w:ascii="楷体" w:hAnsi="楷体" w:eastAsia="楷体" w:cs="楷体"/>
          <w:color w:val="auto"/>
          <w:sz w:val="28"/>
          <w:szCs w:val="28"/>
          <w:highlight w:val="none"/>
        </w:rPr>
        <w:t>合同约定应承担的费用而未按时支付的，甲方有权直接从保证金中扣除；在保证金相应扣除后，乙方应在收到甲方通知后补足，逾期补足的甲方有权按保证金总额以每日</w:t>
      </w:r>
      <w:r>
        <w:rPr>
          <w:rFonts w:hint="eastAsia" w:ascii="楷体" w:hAnsi="楷体" w:eastAsia="楷体" w:cs="楷体"/>
          <w:color w:val="auto"/>
          <w:sz w:val="28"/>
          <w:szCs w:val="28"/>
          <w:highlight w:val="none"/>
          <w:lang w:val="en-US" w:eastAsia="zh-CN"/>
        </w:rPr>
        <w:t>万</w:t>
      </w:r>
      <w:r>
        <w:rPr>
          <w:rFonts w:hint="eastAsia" w:ascii="楷体" w:hAnsi="楷体" w:eastAsia="楷体" w:cs="楷体"/>
          <w:color w:val="auto"/>
          <w:sz w:val="28"/>
          <w:szCs w:val="28"/>
          <w:highlight w:val="none"/>
        </w:rPr>
        <w:t>分之</w:t>
      </w:r>
      <w:r>
        <w:rPr>
          <w:rFonts w:hint="eastAsia" w:ascii="楷体" w:hAnsi="楷体" w:eastAsia="楷体" w:cs="楷体"/>
          <w:color w:val="auto"/>
          <w:sz w:val="28"/>
          <w:szCs w:val="28"/>
          <w:highlight w:val="none"/>
          <w:lang w:val="en-US" w:eastAsia="zh-CN"/>
        </w:rPr>
        <w:t>三</w:t>
      </w:r>
      <w:r>
        <w:rPr>
          <w:rFonts w:hint="eastAsia" w:ascii="楷体" w:hAnsi="楷体" w:eastAsia="楷体" w:cs="楷体"/>
          <w:color w:val="auto"/>
          <w:sz w:val="28"/>
          <w:szCs w:val="28"/>
          <w:highlight w:val="none"/>
        </w:rPr>
        <w:t>的比例要求乙方支付违约金。</w:t>
      </w:r>
    </w:p>
    <w:p w14:paraId="73A2FD76">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10.3 违约赔偿</w:t>
      </w:r>
    </w:p>
    <w:p w14:paraId="649E58BB">
      <w:pPr>
        <w:ind w:firstLine="560" w:firstLineChars="200"/>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lang w:val="en-US" w:eastAsia="zh-CN"/>
        </w:rPr>
        <w:t>因乙方违约，甲方有权直接没收乙方缴纳的履约保证金和装修保证金。</w:t>
      </w:r>
      <w:r>
        <w:rPr>
          <w:rFonts w:hint="eastAsia" w:ascii="楷体" w:hAnsi="楷体" w:eastAsia="楷体" w:cs="楷体"/>
          <w:color w:val="auto"/>
          <w:sz w:val="28"/>
          <w:szCs w:val="28"/>
          <w:highlight w:val="none"/>
        </w:rPr>
        <w:t>乙方</w:t>
      </w:r>
      <w:r>
        <w:rPr>
          <w:rFonts w:hint="eastAsia" w:ascii="楷体" w:hAnsi="楷体" w:eastAsia="楷体" w:cs="楷体"/>
          <w:color w:val="auto"/>
          <w:sz w:val="28"/>
          <w:szCs w:val="28"/>
          <w:highlight w:val="none"/>
          <w:lang w:val="en-US" w:eastAsia="zh-CN"/>
        </w:rPr>
        <w:t>还</w:t>
      </w:r>
      <w:r>
        <w:rPr>
          <w:rFonts w:hint="eastAsia" w:ascii="楷体" w:hAnsi="楷体" w:eastAsia="楷体" w:cs="楷体"/>
          <w:color w:val="auto"/>
          <w:sz w:val="28"/>
          <w:szCs w:val="28"/>
          <w:highlight w:val="none"/>
        </w:rPr>
        <w:t>应支付的违约赔偿须足以弥补甲方因乙方的违约而遭受、产生的任何损失、损害、费用、支出，并应承担甲方为主张该权利而产生的相关合理费用包括但不限于律师费、诉讼费、保全费、审计费、鉴定费、执行费</w:t>
      </w:r>
      <w:r>
        <w:rPr>
          <w:rFonts w:hint="eastAsia" w:ascii="楷体" w:hAnsi="楷体" w:eastAsia="楷体" w:cs="楷体"/>
          <w:color w:val="auto"/>
          <w:sz w:val="28"/>
          <w:szCs w:val="28"/>
          <w:highlight w:val="none"/>
          <w:lang w:eastAsia="zh-CN"/>
        </w:rPr>
        <w:t>、</w:t>
      </w:r>
      <w:r>
        <w:rPr>
          <w:rFonts w:hint="eastAsia" w:ascii="楷体" w:hAnsi="楷体" w:eastAsia="楷体" w:cs="楷体"/>
          <w:color w:val="auto"/>
          <w:sz w:val="28"/>
          <w:szCs w:val="28"/>
          <w:highlight w:val="none"/>
          <w:lang w:val="en-US" w:eastAsia="zh-CN"/>
        </w:rPr>
        <w:t>保全担保费</w:t>
      </w:r>
      <w:r>
        <w:rPr>
          <w:rFonts w:hint="eastAsia" w:ascii="楷体" w:hAnsi="楷体" w:eastAsia="楷体" w:cs="楷体"/>
          <w:color w:val="auto"/>
          <w:sz w:val="28"/>
          <w:szCs w:val="28"/>
          <w:highlight w:val="none"/>
        </w:rPr>
        <w:t>等相关费用。</w:t>
      </w:r>
    </w:p>
    <w:p w14:paraId="7ED9AADF">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a. 乙方逾期支付租金、水费、电费、保证金、物业服务费或公用事业费等其它任何费用的</w:t>
      </w:r>
      <w:r>
        <w:rPr>
          <w:rFonts w:hint="eastAsia" w:ascii="楷体" w:hAnsi="楷体" w:eastAsia="楷体" w:cs="楷体"/>
          <w:color w:val="auto"/>
          <w:sz w:val="28"/>
          <w:szCs w:val="28"/>
          <w:highlight w:val="none"/>
          <w:lang w:val="en-US" w:eastAsia="zh-CN"/>
        </w:rPr>
        <w:t xml:space="preserve"> </w:t>
      </w:r>
      <w:r>
        <w:rPr>
          <w:rFonts w:hint="eastAsia" w:ascii="楷体" w:hAnsi="楷体" w:eastAsia="楷体" w:cs="楷体"/>
          <w:color w:val="auto"/>
          <w:sz w:val="28"/>
          <w:szCs w:val="28"/>
          <w:highlight w:val="none"/>
        </w:rPr>
        <w:t>，除应当按本合同约定承担相应的违约责任之外，还应当自逾期之日起每天按应付未付款项金额的0.</w:t>
      </w:r>
      <w:r>
        <w:rPr>
          <w:rFonts w:ascii="楷体" w:hAnsi="楷体" w:eastAsia="楷体" w:cs="楷体"/>
          <w:color w:val="auto"/>
          <w:sz w:val="28"/>
          <w:szCs w:val="28"/>
          <w:highlight w:val="none"/>
        </w:rPr>
        <w:t>0</w:t>
      </w:r>
      <w:r>
        <w:rPr>
          <w:rFonts w:hint="eastAsia" w:ascii="楷体" w:hAnsi="楷体" w:eastAsia="楷体" w:cs="楷体"/>
          <w:color w:val="auto"/>
          <w:sz w:val="28"/>
          <w:szCs w:val="28"/>
          <w:highlight w:val="none"/>
          <w:lang w:val="en-US" w:eastAsia="zh-CN"/>
        </w:rPr>
        <w:t>3</w:t>
      </w:r>
      <w:r>
        <w:rPr>
          <w:rFonts w:hint="eastAsia" w:ascii="楷体" w:hAnsi="楷体" w:eastAsia="楷体" w:cs="楷体"/>
          <w:color w:val="auto"/>
          <w:sz w:val="28"/>
          <w:szCs w:val="28"/>
          <w:highlight w:val="none"/>
        </w:rPr>
        <w:t>%的标准向甲方支付违约金；</w:t>
      </w:r>
    </w:p>
    <w:p w14:paraId="3EC7527E">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b.除以上a款所述违约</w:t>
      </w:r>
      <w:r>
        <w:rPr>
          <w:rFonts w:hint="eastAsia" w:ascii="楷体" w:hAnsi="楷体" w:eastAsia="楷体" w:cs="楷体"/>
          <w:color w:val="auto"/>
          <w:sz w:val="28"/>
          <w:szCs w:val="28"/>
          <w:highlight w:val="none"/>
          <w:lang w:val="en-US" w:eastAsia="zh-CN"/>
        </w:rPr>
        <w:t>责任外</w:t>
      </w:r>
      <w:r>
        <w:rPr>
          <w:rFonts w:hint="eastAsia" w:ascii="楷体" w:hAnsi="楷体" w:eastAsia="楷体" w:cs="楷体"/>
          <w:color w:val="auto"/>
          <w:sz w:val="28"/>
          <w:szCs w:val="28"/>
          <w:highlight w:val="none"/>
        </w:rPr>
        <w:t>，</w:t>
      </w:r>
      <w:r>
        <w:rPr>
          <w:rFonts w:hint="eastAsia" w:ascii="楷体" w:hAnsi="楷体" w:eastAsia="楷体" w:cs="楷体"/>
          <w:color w:val="auto"/>
          <w:sz w:val="28"/>
          <w:szCs w:val="28"/>
          <w:highlight w:val="none"/>
          <w:lang w:val="en-US" w:eastAsia="zh-CN"/>
        </w:rPr>
        <w:t>若因乙方任何违约之情形导致本合同提前解除或终止，</w:t>
      </w:r>
      <w:r>
        <w:rPr>
          <w:rFonts w:hint="eastAsia" w:ascii="楷体" w:hAnsi="楷体" w:eastAsia="楷体" w:cs="楷体"/>
          <w:color w:val="auto"/>
          <w:sz w:val="28"/>
          <w:szCs w:val="28"/>
          <w:highlight w:val="none"/>
        </w:rPr>
        <w:t>则</w:t>
      </w:r>
      <w:r>
        <w:rPr>
          <w:rFonts w:hint="eastAsia" w:ascii="楷体" w:hAnsi="楷体" w:eastAsia="楷体" w:cs="楷体"/>
          <w:color w:val="auto"/>
          <w:sz w:val="28"/>
          <w:szCs w:val="28"/>
          <w:highlight w:val="none"/>
          <w:lang w:val="en-US" w:eastAsia="zh-CN"/>
        </w:rPr>
        <w:t>乙方还需承担</w:t>
      </w:r>
      <w:r>
        <w:rPr>
          <w:rFonts w:hint="eastAsia" w:ascii="楷体" w:hAnsi="楷体" w:eastAsia="楷体" w:cs="楷体"/>
          <w:color w:val="auto"/>
          <w:sz w:val="28"/>
          <w:szCs w:val="28"/>
          <w:highlight w:val="none"/>
        </w:rPr>
        <w:t>与</w:t>
      </w:r>
      <w:r>
        <w:rPr>
          <w:rFonts w:hint="eastAsia" w:ascii="楷体" w:hAnsi="楷体" w:eastAsia="楷体" w:cs="楷体"/>
          <w:color w:val="auto"/>
          <w:sz w:val="28"/>
          <w:szCs w:val="28"/>
          <w:highlight w:val="none"/>
          <w:lang w:val="en-US" w:eastAsia="zh-CN"/>
        </w:rPr>
        <w:t>3</w:t>
      </w:r>
      <w:r>
        <w:rPr>
          <w:rFonts w:hint="eastAsia" w:ascii="楷体" w:hAnsi="楷体" w:eastAsia="楷体" w:cs="楷体"/>
          <w:color w:val="auto"/>
          <w:sz w:val="28"/>
          <w:szCs w:val="28"/>
          <w:highlight w:val="none"/>
        </w:rPr>
        <w:t>个月租金（以违约行为发生时适用的租金标准为准）等额</w:t>
      </w:r>
      <w:r>
        <w:rPr>
          <w:rFonts w:hint="eastAsia" w:ascii="楷体" w:hAnsi="楷体" w:eastAsia="楷体" w:cs="楷体"/>
          <w:color w:val="auto"/>
          <w:sz w:val="28"/>
          <w:szCs w:val="28"/>
          <w:highlight w:val="none"/>
          <w:lang w:val="en-US" w:eastAsia="zh-CN"/>
        </w:rPr>
        <w:t>的违约金</w:t>
      </w:r>
      <w:r>
        <w:rPr>
          <w:rFonts w:hint="eastAsia" w:ascii="楷体" w:hAnsi="楷体" w:eastAsia="楷体" w:cs="楷体"/>
          <w:color w:val="auto"/>
          <w:sz w:val="28"/>
          <w:szCs w:val="28"/>
          <w:highlight w:val="none"/>
        </w:rPr>
        <w:t>。</w:t>
      </w:r>
    </w:p>
    <w:p w14:paraId="4E3C5332">
      <w:pPr>
        <w:rPr>
          <w:rFonts w:ascii="楷体" w:hAnsi="楷体" w:eastAsia="楷体" w:cs="楷体"/>
          <w:color w:val="auto"/>
          <w:sz w:val="28"/>
          <w:szCs w:val="28"/>
          <w:highlight w:val="none"/>
        </w:rPr>
      </w:pPr>
    </w:p>
    <w:p w14:paraId="1C5B93A9">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第十一条    不可抗力</w:t>
      </w:r>
    </w:p>
    <w:p w14:paraId="22D84AFA">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11.1“不可抗力”是指本合同双方不可预见、亦无法避免的事件，该事件妨碍、影响或延误任何一方根据本合同履行其全部或部分义务。该事件包括但不限于政府政策法规变化或地震、台风、洪水及其他天灾、战争或任何其他类似事件。</w:t>
      </w:r>
    </w:p>
    <w:p w14:paraId="627A3D04">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11.2如发生不可抗力事件，遭受该事件的一方应立即用可能的最快捷的方式通知对方该事件的性质、发生日期、预计持续时间等有关的细节，以及该事件阻碍通知方履行其于本合同项下义务的程度。</w:t>
      </w:r>
    </w:p>
    <w:p w14:paraId="4222B925">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11.3在不可抗力事件持续期间，遭受不可抗力事件的一方应定期及时地告知对方不可抗力事件的现状，如不可抗力事件结束，应立即以书面形式通知对方。</w:t>
      </w:r>
    </w:p>
    <w:p w14:paraId="4D365806">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11.4遭受不可抗力事件的一方可暂行中止履行本合同项下的义务直至不可抗力事件的影响消除为止，并且无需为此而承担违约责任</w:t>
      </w:r>
      <w:r>
        <w:rPr>
          <w:rFonts w:hint="eastAsia" w:ascii="楷体" w:hAnsi="楷体" w:eastAsia="楷体" w:cs="楷体"/>
          <w:color w:val="auto"/>
          <w:sz w:val="28"/>
          <w:szCs w:val="28"/>
          <w:highlight w:val="none"/>
          <w:lang w:eastAsia="zh-CN"/>
        </w:rPr>
        <w:t>，</w:t>
      </w:r>
      <w:r>
        <w:rPr>
          <w:rFonts w:hint="eastAsia" w:ascii="楷体" w:hAnsi="楷体" w:eastAsia="楷体" w:cs="楷体"/>
          <w:color w:val="auto"/>
          <w:sz w:val="28"/>
          <w:szCs w:val="28"/>
          <w:highlight w:val="none"/>
        </w:rPr>
        <w:t>但应尽最大努力克服该事件，减轻其负面的影响。</w:t>
      </w:r>
    </w:p>
    <w:p w14:paraId="3C118D0E">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11.5遭受不可抗力的一方应当向对方提供事件发生地区的公证机构（或其他适当机构）出具的证实不可抗力事件的合法证明，如其不能提供该等证明，对方可根据本合同的约定要求其承担违约责任。</w:t>
      </w:r>
    </w:p>
    <w:p w14:paraId="21202C83">
      <w:pPr>
        <w:rPr>
          <w:rFonts w:ascii="楷体" w:hAnsi="楷体" w:eastAsia="楷体" w:cs="楷体"/>
          <w:color w:val="auto"/>
          <w:sz w:val="28"/>
          <w:szCs w:val="28"/>
          <w:highlight w:val="none"/>
        </w:rPr>
      </w:pPr>
    </w:p>
    <w:p w14:paraId="057A875C">
      <w:pPr>
        <w:ind w:firstLine="700" w:firstLineChars="25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第十二条    通知与送达</w:t>
      </w:r>
    </w:p>
    <w:p w14:paraId="6E4986D9">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12.1任何与本合同有关的由本合同各方当事人发出的任何文件、通知、争议解决及其它通讯往来，必须采用书面形式，并送达至下述地址或各方书面通知的其他地址。</w:t>
      </w:r>
    </w:p>
    <w:p w14:paraId="5C4249B5">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甲方：</w:t>
      </w:r>
      <w:r>
        <w:rPr>
          <w:rFonts w:hint="eastAsia" w:ascii="楷体" w:hAnsi="楷体" w:eastAsia="楷体" w:cs="楷体"/>
          <w:sz w:val="28"/>
          <w:szCs w:val="28"/>
        </w:rPr>
        <w:t>杭州市邻居中心管理有限公司</w:t>
      </w:r>
    </w:p>
    <w:p w14:paraId="58D14B47">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地址：杭州市婺江路319号蕙沣大厦B座1</w:t>
      </w:r>
      <w:r>
        <w:rPr>
          <w:rFonts w:hint="eastAsia" w:ascii="楷体" w:hAnsi="楷体" w:eastAsia="楷体" w:cs="楷体"/>
          <w:color w:val="auto"/>
          <w:sz w:val="28"/>
          <w:szCs w:val="28"/>
          <w:highlight w:val="none"/>
          <w:lang w:val="en-US" w:eastAsia="zh-CN"/>
        </w:rPr>
        <w:t>6</w:t>
      </w:r>
      <w:r>
        <w:rPr>
          <w:rFonts w:hint="eastAsia" w:ascii="楷体" w:hAnsi="楷体" w:eastAsia="楷体" w:cs="楷体"/>
          <w:color w:val="auto"/>
          <w:sz w:val="28"/>
          <w:szCs w:val="28"/>
          <w:highlight w:val="none"/>
        </w:rPr>
        <w:t>层</w:t>
      </w:r>
    </w:p>
    <w:p w14:paraId="5D0D65C1">
      <w:pPr>
        <w:ind w:firstLine="560" w:firstLineChars="200"/>
        <w:rPr>
          <w:rFonts w:hint="default" w:ascii="楷体" w:hAnsi="楷体" w:eastAsia="楷体" w:cs="楷体"/>
          <w:color w:val="auto"/>
          <w:sz w:val="28"/>
          <w:szCs w:val="28"/>
          <w:highlight w:val="none"/>
          <w:lang w:val="en-US" w:eastAsia="zh-CN"/>
        </w:rPr>
      </w:pPr>
      <w:r>
        <w:rPr>
          <w:rFonts w:hint="eastAsia" w:ascii="楷体" w:hAnsi="楷体" w:eastAsia="楷体" w:cs="楷体"/>
          <w:color w:val="auto"/>
          <w:sz w:val="28"/>
          <w:szCs w:val="28"/>
          <w:highlight w:val="none"/>
        </w:rPr>
        <w:t>电话：</w:t>
      </w:r>
      <w:r>
        <w:rPr>
          <w:rFonts w:hint="eastAsia" w:ascii="楷体" w:hAnsi="楷体" w:eastAsia="楷体" w:cs="楷体"/>
          <w:color w:val="auto"/>
          <w:sz w:val="28"/>
          <w:szCs w:val="28"/>
          <w:highlight w:val="none"/>
          <w:lang w:val="en-US" w:eastAsia="zh-CN"/>
        </w:rPr>
        <w:t>0571-89711134</w:t>
      </w:r>
    </w:p>
    <w:p w14:paraId="3EA3B338">
      <w:pPr>
        <w:ind w:firstLine="560" w:firstLineChars="200"/>
        <w:rPr>
          <w:rFonts w:hint="eastAsia" w:ascii="楷体" w:hAnsi="楷体" w:eastAsia="楷体" w:cs="楷体"/>
          <w:color w:val="auto"/>
          <w:sz w:val="28"/>
          <w:szCs w:val="28"/>
          <w:highlight w:val="none"/>
          <w:lang w:val="en-US" w:eastAsia="zh-CN"/>
        </w:rPr>
      </w:pPr>
      <w:r>
        <w:rPr>
          <w:rFonts w:hint="eastAsia" w:ascii="楷体" w:hAnsi="楷体" w:eastAsia="楷体" w:cs="楷体"/>
          <w:color w:val="auto"/>
          <w:sz w:val="28"/>
          <w:szCs w:val="28"/>
          <w:highlight w:val="none"/>
        </w:rPr>
        <w:t>联系人：</w:t>
      </w:r>
      <w:r>
        <w:rPr>
          <w:rFonts w:hint="eastAsia" w:ascii="楷体" w:hAnsi="楷体" w:eastAsia="楷体" w:cs="楷体"/>
          <w:color w:val="auto"/>
          <w:sz w:val="28"/>
          <w:szCs w:val="28"/>
          <w:highlight w:val="none"/>
          <w:lang w:val="en-US" w:eastAsia="zh-CN"/>
        </w:rPr>
        <w:t>田沈杰</w:t>
      </w:r>
    </w:p>
    <w:p w14:paraId="6989A9DB">
      <w:pPr>
        <w:ind w:firstLine="560" w:firstLineChars="200"/>
        <w:rPr>
          <w:rFonts w:ascii="楷体" w:hAnsi="楷体" w:eastAsia="楷体" w:cs="楷体"/>
          <w:color w:val="auto"/>
          <w:sz w:val="28"/>
          <w:szCs w:val="28"/>
          <w:highlight w:val="none"/>
        </w:rPr>
      </w:pPr>
    </w:p>
    <w:p w14:paraId="6E1198EA">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 xml:space="preserve">乙方：        </w:t>
      </w:r>
    </w:p>
    <w:p w14:paraId="0B278C60">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地址：</w:t>
      </w:r>
    </w:p>
    <w:p w14:paraId="3714F9E1">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电话：</w:t>
      </w:r>
    </w:p>
    <w:p w14:paraId="07815AA6">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联系人：</w:t>
      </w:r>
      <w:r>
        <w:rPr>
          <w:rFonts w:hint="eastAsia" w:ascii="楷体" w:hAnsi="楷体" w:eastAsia="楷体" w:cs="楷体"/>
          <w:color w:val="auto"/>
          <w:sz w:val="28"/>
          <w:szCs w:val="28"/>
          <w:highlight w:val="none"/>
          <w:lang w:val="en-US" w:eastAsia="zh-CN"/>
        </w:rPr>
        <w:t xml:space="preserve"> </w:t>
      </w:r>
      <w:r>
        <w:rPr>
          <w:rFonts w:hint="eastAsia" w:ascii="楷体" w:hAnsi="楷体" w:eastAsia="楷体" w:cs="楷体"/>
          <w:color w:val="auto"/>
          <w:sz w:val="28"/>
          <w:szCs w:val="28"/>
          <w:highlight w:val="none"/>
        </w:rPr>
        <w:t xml:space="preserve"> </w:t>
      </w:r>
    </w:p>
    <w:p w14:paraId="1F7903A3">
      <w:pPr>
        <w:rPr>
          <w:rFonts w:ascii="楷体" w:hAnsi="楷体" w:eastAsia="楷体" w:cs="楷体"/>
          <w:color w:val="auto"/>
          <w:sz w:val="28"/>
          <w:szCs w:val="28"/>
          <w:highlight w:val="none"/>
        </w:rPr>
      </w:pPr>
    </w:p>
    <w:p w14:paraId="4B71BA46">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12.2任何文件、通知或其他通讯往来，如以邮寄的方式，在寄出后第三个工作日将视为已送达，快递物流公司出具的投送收据或官网跟踪投递信息，将作为有效证明；如以手递的方式，则于对方签收时视作已送达，收条将作为有效证明。</w:t>
      </w:r>
    </w:p>
    <w:p w14:paraId="31A54434">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12.3甲方在乙方租赁物业门口或其他醒目位置张贴与日常物业管理有关的通知或文件，张贴时间持续超过三个工作日的（以物业公司书面记录为准），即视为已送达到乙方。</w:t>
      </w:r>
    </w:p>
    <w:p w14:paraId="631BDB1B">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12.4 更改地址要在五天之内以书面通知其他各方，如因地址变更方未通知地址变更导致送达不能或约定地址无人接收通知或信件的，则在一方向约定地址寄送通知或信件之日起第5日视为送达，由此造成的责任由地址变更方承担。</w:t>
      </w:r>
    </w:p>
    <w:p w14:paraId="20243733">
      <w:pPr>
        <w:ind w:firstLine="560" w:firstLineChars="200"/>
        <w:rPr>
          <w:rFonts w:ascii="楷体" w:hAnsi="楷体" w:eastAsia="楷体" w:cs="楷体"/>
          <w:color w:val="auto"/>
          <w:sz w:val="28"/>
          <w:szCs w:val="28"/>
          <w:highlight w:val="none"/>
        </w:rPr>
      </w:pPr>
    </w:p>
    <w:p w14:paraId="3421837E">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第十三条    法律适用</w:t>
      </w:r>
    </w:p>
    <w:p w14:paraId="2228C4CA">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13.1 各方在履行本合同过程中发生争议，应协商解决。协商不成时，应向该物业所在地人民法院起诉。</w:t>
      </w:r>
    </w:p>
    <w:p w14:paraId="3FE0EFD7">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13.2本合同的订立、效力、解释、履行及其争议的解决，均应适用中华人民共和国的法律及受其管辖。</w:t>
      </w:r>
    </w:p>
    <w:p w14:paraId="365633E2">
      <w:pPr>
        <w:rPr>
          <w:rFonts w:ascii="楷体" w:hAnsi="楷体" w:eastAsia="楷体" w:cs="楷体"/>
          <w:color w:val="auto"/>
          <w:sz w:val="28"/>
          <w:szCs w:val="28"/>
          <w:highlight w:val="none"/>
        </w:rPr>
      </w:pPr>
    </w:p>
    <w:p w14:paraId="530C59D2">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第十四条    合同效力</w:t>
      </w:r>
    </w:p>
    <w:p w14:paraId="76EE1627">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14.1本合同构成甲方和乙方就有关本合同所涉及事项的全部合同，并且取代有关本合同的所载的各事项先前的所有口头及书面合同。</w:t>
      </w:r>
    </w:p>
    <w:p w14:paraId="292C2748">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14.2本合同附件所列明的内容为本合同各方就本合同有关条款内容所作之补充、修正、解释及说明，为本合同各方所确认及同意，亦为本合同的组成部分。</w:t>
      </w:r>
    </w:p>
    <w:p w14:paraId="4A175558">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14.3本合同自双方</w:t>
      </w:r>
      <w:r>
        <w:rPr>
          <w:rFonts w:hint="eastAsia" w:ascii="楷体" w:hAnsi="楷体" w:eastAsia="楷体" w:cs="楷体"/>
          <w:color w:val="auto"/>
          <w:sz w:val="28"/>
          <w:szCs w:val="28"/>
          <w:highlight w:val="none"/>
          <w:lang w:val="en-US" w:eastAsia="zh-CN"/>
        </w:rPr>
        <w:t>签字或</w:t>
      </w:r>
      <w:r>
        <w:rPr>
          <w:rFonts w:hint="eastAsia" w:ascii="楷体" w:hAnsi="楷体" w:eastAsia="楷体" w:cs="楷体"/>
          <w:color w:val="auto"/>
          <w:sz w:val="28"/>
          <w:szCs w:val="28"/>
          <w:highlight w:val="none"/>
        </w:rPr>
        <w:t>盖章后生效。</w:t>
      </w:r>
    </w:p>
    <w:p w14:paraId="153A8396">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14.4本合同正本及其附件一式</w:t>
      </w:r>
      <w:r>
        <w:rPr>
          <w:rFonts w:hint="eastAsia" w:ascii="楷体" w:hAnsi="楷体" w:eastAsia="楷体" w:cs="楷体"/>
          <w:color w:val="auto"/>
          <w:sz w:val="28"/>
          <w:szCs w:val="28"/>
          <w:highlight w:val="none"/>
          <w:lang w:eastAsia="zh-CN"/>
        </w:rPr>
        <w:t>陆</w:t>
      </w:r>
      <w:r>
        <w:rPr>
          <w:rFonts w:hint="eastAsia" w:ascii="楷体" w:hAnsi="楷体" w:eastAsia="楷体" w:cs="楷体"/>
          <w:color w:val="auto"/>
          <w:sz w:val="28"/>
          <w:szCs w:val="28"/>
          <w:highlight w:val="none"/>
        </w:rPr>
        <w:t>份，甲方执</w:t>
      </w:r>
      <w:r>
        <w:rPr>
          <w:rFonts w:hint="eastAsia" w:ascii="楷体" w:hAnsi="楷体" w:eastAsia="楷体" w:cs="楷体"/>
          <w:color w:val="auto"/>
          <w:sz w:val="28"/>
          <w:szCs w:val="28"/>
          <w:highlight w:val="none"/>
          <w:lang w:val="en-US" w:eastAsia="zh-CN"/>
        </w:rPr>
        <w:t>肆</w:t>
      </w:r>
      <w:r>
        <w:rPr>
          <w:rFonts w:hint="eastAsia" w:ascii="楷体" w:hAnsi="楷体" w:eastAsia="楷体" w:cs="楷体"/>
          <w:color w:val="auto"/>
          <w:sz w:val="28"/>
          <w:szCs w:val="28"/>
          <w:highlight w:val="none"/>
        </w:rPr>
        <w:t>份，乙方执两份，各份具同等法律效力。</w:t>
      </w:r>
    </w:p>
    <w:p w14:paraId="16D4F2AB">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14.5 本合同条款的标题仅为方便参阅而设，不得用于解释合同条款。</w:t>
      </w:r>
    </w:p>
    <w:p w14:paraId="03D1D273">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14.6本合同条款经各方协商和谈判而达成，不构成任何一方的格式条款。</w:t>
      </w:r>
    </w:p>
    <w:p w14:paraId="5455EC8A">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14.7本合同以中文书写，如其他文字文本与中文文本不符，以中文文本为准。</w:t>
      </w:r>
    </w:p>
    <w:p w14:paraId="67A90877">
      <w:pPr>
        <w:rPr>
          <w:rFonts w:ascii="楷体" w:hAnsi="楷体" w:eastAsia="楷体" w:cs="楷体"/>
          <w:color w:val="auto"/>
          <w:sz w:val="28"/>
          <w:szCs w:val="28"/>
          <w:highlight w:val="none"/>
        </w:rPr>
      </w:pPr>
    </w:p>
    <w:p w14:paraId="0044F6C3">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第十五条    其他条款</w:t>
      </w:r>
    </w:p>
    <w:p w14:paraId="62FF0C89">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15.1 租赁期间，甲方因合理变更、修缮需要，在事先知会乙方后，有权临时封闭该物业所在建筑物的公用区域及公用设施或其他部分设施（包括但不限于走道，门户，窗户，电动装配，电缆电线，水管通道，燃气管道，电梯</w:t>
      </w:r>
      <w:r>
        <w:rPr>
          <w:rFonts w:hint="eastAsia" w:ascii="楷体" w:hAnsi="楷体" w:eastAsia="楷体" w:cs="楷体"/>
          <w:color w:val="auto"/>
          <w:sz w:val="28"/>
          <w:szCs w:val="28"/>
          <w:highlight w:val="none"/>
          <w:lang w:eastAsia="zh-CN"/>
        </w:rPr>
        <w:t>，</w:t>
      </w:r>
      <w:r>
        <w:rPr>
          <w:rFonts w:hint="eastAsia" w:ascii="楷体" w:hAnsi="楷体" w:eastAsia="楷体" w:cs="楷体"/>
          <w:color w:val="auto"/>
          <w:sz w:val="28"/>
          <w:szCs w:val="28"/>
          <w:highlight w:val="none"/>
        </w:rPr>
        <w:t>自动扶梯，防火，保安设备，空调设备），变更该物业所在建筑物之公用区域整体结构、布局及安排。</w:t>
      </w:r>
    </w:p>
    <w:p w14:paraId="5EAC17FE">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lang w:val="en-US" w:eastAsia="zh-CN"/>
        </w:rPr>
        <w:t>有关</w:t>
      </w:r>
      <w:r>
        <w:rPr>
          <w:rFonts w:hint="eastAsia" w:ascii="楷体" w:hAnsi="楷体" w:eastAsia="楷体" w:cs="楷体"/>
          <w:color w:val="auto"/>
          <w:sz w:val="28"/>
          <w:szCs w:val="28"/>
          <w:highlight w:val="none"/>
        </w:rPr>
        <w:t>出租房屋设备、设施的移交及维修、保养</w:t>
      </w:r>
      <w:r>
        <w:rPr>
          <w:rFonts w:hint="eastAsia" w:ascii="楷体" w:hAnsi="楷体" w:eastAsia="楷体" w:cs="楷体"/>
          <w:color w:val="auto"/>
          <w:sz w:val="28"/>
          <w:szCs w:val="28"/>
          <w:highlight w:val="none"/>
          <w:lang w:eastAsia="zh-CN"/>
        </w:rPr>
        <w:t>、</w:t>
      </w:r>
      <w:r>
        <w:rPr>
          <w:rFonts w:hint="eastAsia" w:ascii="楷体" w:hAnsi="楷体" w:eastAsia="楷体" w:cs="楷体"/>
          <w:color w:val="auto"/>
          <w:sz w:val="28"/>
          <w:szCs w:val="28"/>
          <w:highlight w:val="none"/>
        </w:rPr>
        <w:t>租赁</w:t>
      </w:r>
      <w:r>
        <w:rPr>
          <w:rFonts w:hint="eastAsia" w:ascii="楷体" w:hAnsi="楷体" w:eastAsia="楷体" w:cs="楷体"/>
          <w:color w:val="auto"/>
          <w:sz w:val="28"/>
          <w:szCs w:val="28"/>
          <w:highlight w:val="none"/>
          <w:lang w:val="en-US" w:eastAsia="zh-CN"/>
        </w:rPr>
        <w:t>等事宜</w:t>
      </w:r>
      <w:r>
        <w:rPr>
          <w:rFonts w:hint="eastAsia" w:ascii="楷体" w:hAnsi="楷体" w:eastAsia="楷体" w:cs="楷体"/>
          <w:color w:val="auto"/>
          <w:sz w:val="28"/>
          <w:szCs w:val="28"/>
          <w:highlight w:val="none"/>
          <w:lang w:eastAsia="zh-CN"/>
        </w:rPr>
        <w:t>，</w:t>
      </w:r>
      <w:r>
        <w:rPr>
          <w:rFonts w:hint="eastAsia" w:ascii="楷体" w:hAnsi="楷体" w:eastAsia="楷体" w:cs="楷体"/>
          <w:color w:val="auto"/>
          <w:sz w:val="28"/>
          <w:szCs w:val="28"/>
          <w:highlight w:val="none"/>
        </w:rPr>
        <w:t>甲乙双方</w:t>
      </w:r>
      <w:r>
        <w:rPr>
          <w:rFonts w:hint="eastAsia" w:ascii="楷体" w:hAnsi="楷体" w:eastAsia="楷体" w:cs="楷体"/>
          <w:color w:val="auto"/>
          <w:sz w:val="28"/>
          <w:szCs w:val="28"/>
          <w:highlight w:val="none"/>
          <w:lang w:val="en-US" w:eastAsia="zh-CN"/>
        </w:rPr>
        <w:t>可</w:t>
      </w:r>
      <w:r>
        <w:rPr>
          <w:rFonts w:hint="eastAsia" w:ascii="楷体" w:hAnsi="楷体" w:eastAsia="楷体" w:cs="楷体"/>
          <w:color w:val="auto"/>
          <w:sz w:val="28"/>
          <w:szCs w:val="28"/>
          <w:highlight w:val="none"/>
        </w:rPr>
        <w:t>另行签订相关合同</w:t>
      </w:r>
      <w:r>
        <w:rPr>
          <w:rFonts w:hint="eastAsia" w:ascii="楷体" w:hAnsi="楷体" w:eastAsia="楷体" w:cs="楷体"/>
          <w:color w:val="auto"/>
          <w:sz w:val="28"/>
          <w:szCs w:val="28"/>
          <w:highlight w:val="none"/>
          <w:lang w:val="en-US" w:eastAsia="zh-CN"/>
        </w:rPr>
        <w:t>约定</w:t>
      </w:r>
      <w:r>
        <w:rPr>
          <w:rFonts w:hint="eastAsia" w:ascii="楷体" w:hAnsi="楷体" w:eastAsia="楷体" w:cs="楷体"/>
          <w:color w:val="auto"/>
          <w:sz w:val="28"/>
          <w:szCs w:val="28"/>
          <w:highlight w:val="none"/>
        </w:rPr>
        <w:t>。</w:t>
      </w:r>
    </w:p>
    <w:p w14:paraId="64B818F2">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15.2 物业的维修养护责任</w:t>
      </w:r>
    </w:p>
    <w:p w14:paraId="6798D39F">
      <w:pPr>
        <w:adjustRightInd w:val="0"/>
        <w:snapToGrid w:val="0"/>
        <w:spacing w:line="396" w:lineRule="auto"/>
        <w:ind w:firstLine="560" w:firstLineChars="200"/>
        <w:rPr>
          <w:rFonts w:hint="eastAsia" w:ascii="楷体" w:hAnsi="楷体" w:eastAsia="楷体" w:cs="楷体"/>
          <w:color w:val="auto"/>
          <w:sz w:val="28"/>
          <w:szCs w:val="28"/>
          <w:highlight w:val="none"/>
          <w:lang w:val="en-US" w:eastAsia="zh-CN"/>
        </w:rPr>
      </w:pPr>
      <w:r>
        <w:rPr>
          <w:rFonts w:hint="eastAsia" w:ascii="楷体" w:hAnsi="楷体" w:eastAsia="楷体" w:cs="楷体"/>
          <w:color w:val="auto"/>
          <w:sz w:val="28"/>
          <w:szCs w:val="28"/>
          <w:highlight w:val="none"/>
        </w:rPr>
        <w:t>甲方对房屋地基、基础、主体结构、幕墙</w:t>
      </w:r>
      <w:r>
        <w:rPr>
          <w:rFonts w:hint="eastAsia" w:ascii="楷体" w:hAnsi="楷体" w:eastAsia="楷体" w:cs="楷体"/>
          <w:color w:val="auto"/>
          <w:sz w:val="28"/>
          <w:szCs w:val="28"/>
          <w:highlight w:val="none"/>
          <w:lang w:val="en-US" w:eastAsia="zh-CN"/>
        </w:rPr>
        <w:t>问题</w:t>
      </w:r>
      <w:r>
        <w:rPr>
          <w:rFonts w:hint="eastAsia" w:ascii="楷体" w:hAnsi="楷体" w:eastAsia="楷体" w:cs="楷体"/>
          <w:color w:val="auto"/>
          <w:sz w:val="28"/>
          <w:szCs w:val="28"/>
          <w:highlight w:val="none"/>
        </w:rPr>
        <w:t>承担维修责任（因乙方装修改造或人为损坏造成的</w:t>
      </w:r>
      <w:r>
        <w:rPr>
          <w:rFonts w:hint="eastAsia" w:ascii="楷体" w:hAnsi="楷体" w:eastAsia="楷体" w:cs="楷体"/>
          <w:color w:val="auto"/>
          <w:sz w:val="28"/>
          <w:szCs w:val="28"/>
          <w:highlight w:val="none"/>
          <w:lang w:val="en-US" w:eastAsia="zh-CN"/>
        </w:rPr>
        <w:t>和属于房屋所在物业服务公司维修范围的</w:t>
      </w:r>
      <w:r>
        <w:rPr>
          <w:rFonts w:hint="eastAsia" w:ascii="楷体" w:hAnsi="楷体" w:eastAsia="楷体" w:cs="楷体"/>
          <w:color w:val="auto"/>
          <w:sz w:val="28"/>
          <w:szCs w:val="28"/>
          <w:highlight w:val="none"/>
        </w:rPr>
        <w:t>除外）</w:t>
      </w:r>
      <w:r>
        <w:rPr>
          <w:rFonts w:hint="eastAsia" w:ascii="楷体" w:hAnsi="楷体" w:eastAsia="楷体" w:cs="楷体"/>
          <w:color w:val="auto"/>
          <w:sz w:val="28"/>
          <w:szCs w:val="28"/>
          <w:highlight w:val="none"/>
          <w:lang w:eastAsia="zh-CN"/>
        </w:rPr>
        <w:t>；</w:t>
      </w:r>
      <w:r>
        <w:rPr>
          <w:rFonts w:hint="eastAsia" w:ascii="楷体" w:hAnsi="楷体" w:eastAsia="楷体" w:cs="楷体"/>
          <w:color w:val="auto"/>
          <w:sz w:val="28"/>
          <w:szCs w:val="28"/>
          <w:highlight w:val="none"/>
        </w:rPr>
        <w:t>如</w:t>
      </w:r>
      <w:r>
        <w:rPr>
          <w:rFonts w:hint="eastAsia" w:ascii="楷体" w:hAnsi="楷体" w:eastAsia="楷体" w:cs="楷体"/>
          <w:color w:val="auto"/>
          <w:sz w:val="28"/>
          <w:szCs w:val="28"/>
          <w:highlight w:val="none"/>
          <w:lang w:val="en-US" w:eastAsia="zh-CN"/>
        </w:rPr>
        <w:t>确因</w:t>
      </w:r>
      <w:r>
        <w:rPr>
          <w:rFonts w:hint="eastAsia" w:ascii="楷体" w:hAnsi="楷体" w:eastAsia="楷体" w:cs="楷体"/>
          <w:color w:val="auto"/>
          <w:sz w:val="28"/>
          <w:szCs w:val="28"/>
          <w:highlight w:val="none"/>
        </w:rPr>
        <w:t>需</w:t>
      </w:r>
      <w:r>
        <w:rPr>
          <w:rFonts w:hint="eastAsia" w:ascii="楷体" w:hAnsi="楷体" w:eastAsia="楷体" w:cs="楷体"/>
          <w:color w:val="auto"/>
          <w:sz w:val="28"/>
          <w:szCs w:val="28"/>
          <w:highlight w:val="none"/>
          <w:lang w:val="en-US" w:eastAsia="zh-CN"/>
        </w:rPr>
        <w:t>要</w:t>
      </w:r>
      <w:r>
        <w:rPr>
          <w:rFonts w:hint="eastAsia" w:ascii="楷体" w:hAnsi="楷体" w:eastAsia="楷体" w:cs="楷体"/>
          <w:color w:val="auto"/>
          <w:sz w:val="28"/>
          <w:szCs w:val="28"/>
          <w:highlight w:val="none"/>
        </w:rPr>
        <w:t>维修</w:t>
      </w:r>
      <w:r>
        <w:rPr>
          <w:rFonts w:hint="eastAsia" w:ascii="楷体" w:hAnsi="楷体" w:eastAsia="楷体" w:cs="楷体"/>
          <w:color w:val="auto"/>
          <w:sz w:val="28"/>
          <w:szCs w:val="28"/>
          <w:highlight w:val="none"/>
          <w:lang w:eastAsia="zh-CN"/>
        </w:rPr>
        <w:t>，</w:t>
      </w:r>
      <w:r>
        <w:rPr>
          <w:rFonts w:hint="eastAsia" w:ascii="楷体" w:hAnsi="楷体" w:eastAsia="楷体" w:cs="楷体"/>
          <w:color w:val="auto"/>
          <w:sz w:val="28"/>
          <w:szCs w:val="28"/>
          <w:highlight w:val="none"/>
        </w:rPr>
        <w:t>乙方应书面通知甲方，甲方收到通知后</w:t>
      </w:r>
      <w:r>
        <w:rPr>
          <w:rFonts w:hint="eastAsia" w:ascii="楷体" w:hAnsi="楷体" w:eastAsia="楷体" w:cs="楷体"/>
          <w:color w:val="auto"/>
          <w:sz w:val="28"/>
          <w:szCs w:val="28"/>
          <w:highlight w:val="none"/>
          <w:lang w:val="en-US" w:eastAsia="zh-CN"/>
        </w:rPr>
        <w:t>及时对现场勘查后进行</w:t>
      </w:r>
      <w:r>
        <w:rPr>
          <w:rFonts w:hint="eastAsia" w:ascii="楷体" w:hAnsi="楷体" w:eastAsia="楷体" w:cs="楷体"/>
          <w:color w:val="auto"/>
          <w:sz w:val="28"/>
          <w:szCs w:val="28"/>
          <w:highlight w:val="none"/>
        </w:rPr>
        <w:t>维修</w:t>
      </w:r>
      <w:r>
        <w:rPr>
          <w:rFonts w:hint="eastAsia" w:ascii="楷体" w:hAnsi="楷体" w:eastAsia="楷体" w:cs="楷体"/>
          <w:color w:val="auto"/>
          <w:sz w:val="28"/>
          <w:szCs w:val="28"/>
          <w:highlight w:val="none"/>
          <w:lang w:eastAsia="zh-CN"/>
        </w:rPr>
        <w:t>，</w:t>
      </w:r>
      <w:r>
        <w:rPr>
          <w:rFonts w:hint="eastAsia" w:ascii="楷体" w:hAnsi="楷体" w:eastAsia="楷体" w:cs="楷体"/>
          <w:color w:val="auto"/>
          <w:sz w:val="28"/>
          <w:szCs w:val="28"/>
          <w:highlight w:val="none"/>
          <w:lang w:val="en-US" w:eastAsia="zh-CN"/>
        </w:rPr>
        <w:t>乙方应无条件配合甲方进行维修</w:t>
      </w:r>
      <w:r>
        <w:rPr>
          <w:rFonts w:hint="eastAsia" w:ascii="楷体" w:hAnsi="楷体" w:eastAsia="楷体" w:cs="楷体"/>
          <w:color w:val="auto"/>
          <w:sz w:val="28"/>
          <w:szCs w:val="28"/>
          <w:highlight w:val="none"/>
        </w:rPr>
        <w:t>。乙方</w:t>
      </w:r>
      <w:r>
        <w:rPr>
          <w:rFonts w:hint="eastAsia" w:ascii="楷体" w:hAnsi="楷体" w:eastAsia="楷体" w:cs="楷体"/>
          <w:color w:val="auto"/>
          <w:sz w:val="28"/>
          <w:szCs w:val="28"/>
          <w:highlight w:val="none"/>
          <w:lang w:val="en-US" w:eastAsia="zh-CN"/>
        </w:rPr>
        <w:t>需</w:t>
      </w:r>
      <w:r>
        <w:rPr>
          <w:rFonts w:hint="eastAsia" w:ascii="楷体" w:hAnsi="楷体" w:eastAsia="楷体" w:cs="楷体"/>
          <w:color w:val="auto"/>
          <w:sz w:val="28"/>
          <w:szCs w:val="28"/>
          <w:highlight w:val="none"/>
        </w:rPr>
        <w:t>承担</w:t>
      </w:r>
      <w:r>
        <w:rPr>
          <w:rFonts w:hint="eastAsia" w:ascii="楷体" w:hAnsi="楷体" w:eastAsia="楷体" w:cs="楷体"/>
          <w:color w:val="auto"/>
          <w:sz w:val="28"/>
          <w:szCs w:val="28"/>
          <w:highlight w:val="none"/>
          <w:lang w:val="en-US" w:eastAsia="zh-CN"/>
        </w:rPr>
        <w:t>非主体性结构、</w:t>
      </w:r>
      <w:r>
        <w:rPr>
          <w:rFonts w:hint="eastAsia" w:ascii="楷体" w:hAnsi="楷体" w:eastAsia="楷体" w:cs="楷体"/>
          <w:color w:val="auto"/>
          <w:sz w:val="28"/>
          <w:szCs w:val="28"/>
          <w:highlight w:val="none"/>
        </w:rPr>
        <w:t>房屋建筑装饰</w:t>
      </w:r>
      <w:r>
        <w:rPr>
          <w:rFonts w:hint="eastAsia" w:ascii="楷体" w:hAnsi="楷体" w:eastAsia="楷体" w:cs="楷体"/>
          <w:color w:val="auto"/>
          <w:sz w:val="28"/>
          <w:szCs w:val="28"/>
          <w:highlight w:val="none"/>
          <w:lang w:val="en-US" w:eastAsia="zh-CN"/>
        </w:rPr>
        <w:t>和使用设施设备的</w:t>
      </w:r>
      <w:r>
        <w:rPr>
          <w:rFonts w:hint="eastAsia" w:ascii="楷体" w:hAnsi="楷体" w:eastAsia="楷体" w:cs="楷体"/>
          <w:color w:val="auto"/>
          <w:sz w:val="28"/>
          <w:szCs w:val="28"/>
          <w:highlight w:val="none"/>
        </w:rPr>
        <w:t>日常</w:t>
      </w:r>
      <w:r>
        <w:rPr>
          <w:rFonts w:hint="eastAsia" w:ascii="楷体" w:hAnsi="楷体" w:eastAsia="楷体" w:cs="楷体"/>
          <w:color w:val="auto"/>
          <w:sz w:val="28"/>
          <w:szCs w:val="28"/>
          <w:highlight w:val="none"/>
          <w:lang w:val="en-US" w:eastAsia="zh-CN"/>
        </w:rPr>
        <w:t>维护</w:t>
      </w:r>
      <w:r>
        <w:rPr>
          <w:rFonts w:hint="eastAsia" w:ascii="楷体" w:hAnsi="楷体" w:eastAsia="楷体" w:cs="楷体"/>
          <w:color w:val="auto"/>
          <w:sz w:val="28"/>
          <w:szCs w:val="28"/>
          <w:highlight w:val="none"/>
        </w:rPr>
        <w:t>维修</w:t>
      </w:r>
      <w:r>
        <w:rPr>
          <w:rFonts w:hint="eastAsia" w:ascii="楷体" w:hAnsi="楷体" w:eastAsia="楷体" w:cs="楷体"/>
          <w:color w:val="auto"/>
          <w:sz w:val="28"/>
          <w:szCs w:val="28"/>
          <w:highlight w:val="none"/>
          <w:lang w:eastAsia="zh-CN"/>
        </w:rPr>
        <w:t>，</w:t>
      </w:r>
      <w:r>
        <w:rPr>
          <w:rFonts w:hint="eastAsia" w:ascii="楷体" w:hAnsi="楷体" w:eastAsia="楷体" w:cs="楷体"/>
          <w:color w:val="auto"/>
          <w:sz w:val="28"/>
          <w:szCs w:val="28"/>
          <w:highlight w:val="none"/>
        </w:rPr>
        <w:t>因乙方装修改造或管理使用不善造成房屋及相关设备的损失和维修费用，由乙方承担并负责赔偿由此给甲方造成的损失。</w:t>
      </w:r>
      <w:r>
        <w:rPr>
          <w:rFonts w:hint="eastAsia" w:ascii="楷体" w:hAnsi="楷体" w:eastAsia="楷体" w:cs="楷体"/>
          <w:color w:val="auto"/>
          <w:sz w:val="28"/>
          <w:szCs w:val="28"/>
          <w:highlight w:val="none"/>
          <w:lang w:val="en-US" w:eastAsia="zh-CN"/>
        </w:rPr>
        <w:t>若因乙方自身原因，未及时对非主体性结构、</w:t>
      </w:r>
      <w:r>
        <w:rPr>
          <w:rFonts w:hint="eastAsia" w:ascii="楷体" w:hAnsi="楷体" w:eastAsia="楷体" w:cs="楷体"/>
          <w:color w:val="auto"/>
          <w:sz w:val="28"/>
          <w:szCs w:val="28"/>
          <w:highlight w:val="none"/>
        </w:rPr>
        <w:t>房屋建筑装饰</w:t>
      </w:r>
      <w:r>
        <w:rPr>
          <w:rFonts w:hint="eastAsia" w:ascii="楷体" w:hAnsi="楷体" w:eastAsia="楷体" w:cs="楷体"/>
          <w:color w:val="auto"/>
          <w:sz w:val="28"/>
          <w:szCs w:val="28"/>
          <w:highlight w:val="none"/>
          <w:lang w:val="en-US" w:eastAsia="zh-CN"/>
        </w:rPr>
        <w:t>和设施设备进行维护、</w:t>
      </w:r>
      <w:r>
        <w:rPr>
          <w:rFonts w:hint="eastAsia" w:ascii="楷体" w:hAnsi="楷体" w:eastAsia="楷体" w:cs="楷体"/>
          <w:color w:val="auto"/>
          <w:sz w:val="28"/>
          <w:szCs w:val="28"/>
          <w:highlight w:val="none"/>
        </w:rPr>
        <w:t>维修</w:t>
      </w:r>
      <w:r>
        <w:rPr>
          <w:rFonts w:hint="eastAsia" w:ascii="楷体" w:hAnsi="楷体" w:eastAsia="楷体" w:cs="楷体"/>
          <w:color w:val="auto"/>
          <w:sz w:val="28"/>
          <w:szCs w:val="28"/>
          <w:highlight w:val="none"/>
          <w:lang w:val="en-US" w:eastAsia="zh-CN"/>
        </w:rPr>
        <w:t>产生的一切损失皆由乙方自行承担。</w:t>
      </w:r>
    </w:p>
    <w:p w14:paraId="6F2CD158">
      <w:pPr>
        <w:adjustRightInd w:val="0"/>
        <w:snapToGrid w:val="0"/>
        <w:spacing w:line="396" w:lineRule="auto"/>
        <w:ind w:firstLine="560" w:firstLineChars="200"/>
        <w:rPr>
          <w:rFonts w:hint="eastAsia" w:ascii="楷体" w:hAnsi="楷体" w:eastAsia="楷体" w:cs="楷体"/>
          <w:sz w:val="28"/>
          <w:szCs w:val="28"/>
          <w:highlight w:val="none"/>
        </w:rPr>
      </w:pPr>
      <w:r>
        <w:rPr>
          <w:rFonts w:hint="eastAsia" w:ascii="楷体" w:hAnsi="楷体" w:eastAsia="楷体" w:cs="楷体"/>
          <w:sz w:val="28"/>
          <w:szCs w:val="28"/>
          <w:highlight w:val="none"/>
        </w:rPr>
        <w:t>15.3 业务数据的使用与权益</w:t>
      </w:r>
    </w:p>
    <w:p w14:paraId="0D6026F2">
      <w:pPr>
        <w:adjustRightInd w:val="0"/>
        <w:snapToGrid w:val="0"/>
        <w:spacing w:line="396" w:lineRule="auto"/>
        <w:ind w:firstLine="560" w:firstLineChars="200"/>
        <w:rPr>
          <w:rFonts w:hint="eastAsia" w:ascii="楷体" w:hAnsi="楷体" w:eastAsia="楷体" w:cs="楷体"/>
          <w:sz w:val="28"/>
          <w:szCs w:val="28"/>
          <w:highlight w:val="none"/>
        </w:rPr>
      </w:pPr>
      <w:r>
        <w:rPr>
          <w:rFonts w:hint="eastAsia" w:ascii="楷体" w:hAnsi="楷体" w:eastAsia="楷体" w:cs="楷体"/>
          <w:sz w:val="28"/>
          <w:szCs w:val="28"/>
          <w:highlight w:val="none"/>
        </w:rPr>
        <w:t>15.3.1 业务数据是指双方在履行合同过程中产生的全部数据</w:t>
      </w:r>
      <w:r>
        <w:rPr>
          <w:rFonts w:hint="eastAsia" w:ascii="楷体" w:hAnsi="楷体" w:eastAsia="楷体" w:cs="楷体"/>
          <w:sz w:val="28"/>
          <w:szCs w:val="28"/>
          <w:highlight w:val="none"/>
          <w:lang w:eastAsia="zh-CN"/>
        </w:rPr>
        <w:t>。</w:t>
      </w:r>
      <w:r>
        <w:rPr>
          <w:rFonts w:hint="eastAsia" w:ascii="楷体" w:hAnsi="楷体" w:eastAsia="楷体" w:cs="楷体"/>
          <w:sz w:val="28"/>
          <w:szCs w:val="28"/>
          <w:highlight w:val="none"/>
        </w:rPr>
        <w:t>乙方</w:t>
      </w:r>
      <w:r>
        <w:rPr>
          <w:rFonts w:hint="eastAsia" w:ascii="楷体" w:hAnsi="楷体" w:eastAsia="楷体" w:cs="楷体"/>
          <w:sz w:val="28"/>
          <w:szCs w:val="28"/>
          <w:highlight w:val="none"/>
          <w:lang w:val="en-US" w:eastAsia="zh-CN"/>
        </w:rPr>
        <w:t>知悉并同意</w:t>
      </w:r>
      <w:r>
        <w:rPr>
          <w:rFonts w:hint="eastAsia" w:ascii="楷体" w:hAnsi="楷体" w:eastAsia="楷体" w:cs="楷体"/>
          <w:sz w:val="28"/>
          <w:szCs w:val="28"/>
          <w:highlight w:val="none"/>
          <w:lang w:eastAsia="zh-CN"/>
        </w:rPr>
        <w:t>：</w:t>
      </w:r>
      <w:r>
        <w:rPr>
          <w:rFonts w:hint="eastAsia" w:ascii="楷体" w:hAnsi="楷体" w:eastAsia="楷体" w:cs="楷体"/>
          <w:sz w:val="28"/>
          <w:szCs w:val="28"/>
          <w:highlight w:val="none"/>
          <w:lang w:val="en-US" w:eastAsia="zh-CN"/>
        </w:rPr>
        <w:t>甲方有权</w:t>
      </w:r>
      <w:r>
        <w:rPr>
          <w:rFonts w:hint="eastAsia" w:ascii="楷体" w:hAnsi="楷体" w:eastAsia="楷体" w:cs="楷体"/>
          <w:sz w:val="28"/>
          <w:szCs w:val="28"/>
          <w:highlight w:val="none"/>
        </w:rPr>
        <w:t>对业务数据</w:t>
      </w:r>
      <w:r>
        <w:rPr>
          <w:rFonts w:hint="eastAsia" w:ascii="楷体" w:hAnsi="楷体" w:eastAsia="楷体" w:cs="楷体"/>
          <w:sz w:val="28"/>
          <w:szCs w:val="28"/>
          <w:highlight w:val="none"/>
          <w:lang w:val="en-US" w:eastAsia="zh-CN"/>
        </w:rPr>
        <w:t>进行</w:t>
      </w:r>
      <w:r>
        <w:rPr>
          <w:rFonts w:hint="eastAsia" w:ascii="楷体" w:hAnsi="楷体" w:eastAsia="楷体" w:cs="楷体"/>
          <w:sz w:val="28"/>
          <w:szCs w:val="28"/>
          <w:highlight w:val="none"/>
        </w:rPr>
        <w:t>收集、清洗与整合</w:t>
      </w:r>
      <w:r>
        <w:rPr>
          <w:rFonts w:hint="eastAsia" w:ascii="楷体" w:hAnsi="楷体" w:eastAsia="楷体" w:cs="楷体"/>
          <w:sz w:val="28"/>
          <w:szCs w:val="28"/>
          <w:highlight w:val="none"/>
          <w:lang w:eastAsia="zh-CN"/>
        </w:rPr>
        <w:t>、分析与建模、</w:t>
      </w:r>
      <w:r>
        <w:rPr>
          <w:rFonts w:hint="eastAsia" w:ascii="楷体" w:hAnsi="楷体" w:eastAsia="楷体" w:cs="楷体"/>
          <w:sz w:val="28"/>
          <w:szCs w:val="28"/>
          <w:highlight w:val="none"/>
        </w:rPr>
        <w:t>存储</w:t>
      </w:r>
      <w:r>
        <w:rPr>
          <w:rFonts w:hint="eastAsia" w:ascii="楷体" w:hAnsi="楷体" w:eastAsia="楷体" w:cs="楷体"/>
          <w:sz w:val="28"/>
          <w:szCs w:val="28"/>
          <w:highlight w:val="none"/>
          <w:lang w:val="en-US" w:eastAsia="zh-CN"/>
        </w:rPr>
        <w:t>等</w:t>
      </w:r>
      <w:r>
        <w:rPr>
          <w:rFonts w:hint="eastAsia" w:ascii="楷体" w:hAnsi="楷体" w:eastAsia="楷体" w:cs="楷体"/>
          <w:sz w:val="28"/>
          <w:szCs w:val="28"/>
          <w:highlight w:val="none"/>
        </w:rPr>
        <w:t>处理</w:t>
      </w:r>
      <w:r>
        <w:rPr>
          <w:rFonts w:hint="eastAsia" w:ascii="楷体" w:hAnsi="楷体" w:eastAsia="楷体" w:cs="楷体"/>
          <w:sz w:val="28"/>
          <w:szCs w:val="28"/>
          <w:highlight w:val="none"/>
          <w:lang w:eastAsia="zh-CN"/>
        </w:rPr>
        <w:t>，</w:t>
      </w:r>
      <w:r>
        <w:rPr>
          <w:rFonts w:hint="eastAsia" w:ascii="楷体" w:hAnsi="楷体" w:eastAsia="楷体" w:cs="楷体"/>
          <w:sz w:val="28"/>
          <w:szCs w:val="28"/>
          <w:highlight w:val="none"/>
          <w:lang w:val="en-US" w:eastAsia="zh-CN"/>
        </w:rPr>
        <w:t>并在符合法律法规的要求下，采取数据</w:t>
      </w:r>
      <w:r>
        <w:rPr>
          <w:rFonts w:hint="eastAsia" w:ascii="楷体" w:hAnsi="楷体" w:eastAsia="楷体" w:cs="楷体"/>
          <w:sz w:val="28"/>
          <w:szCs w:val="28"/>
          <w:highlight w:val="none"/>
        </w:rPr>
        <w:t>脱敏等</w:t>
      </w:r>
      <w:r>
        <w:rPr>
          <w:rFonts w:hint="eastAsia" w:ascii="楷体" w:hAnsi="楷体" w:eastAsia="楷体" w:cs="楷体"/>
          <w:sz w:val="28"/>
          <w:szCs w:val="28"/>
          <w:highlight w:val="none"/>
          <w:lang w:val="en-US" w:eastAsia="zh-CN"/>
        </w:rPr>
        <w:t>方式，将数据用于平台功能优化、</w:t>
      </w:r>
      <w:r>
        <w:rPr>
          <w:rFonts w:hint="eastAsia" w:ascii="楷体" w:hAnsi="楷体" w:eastAsia="楷体" w:cs="楷体"/>
          <w:sz w:val="28"/>
          <w:szCs w:val="28"/>
          <w:highlight w:val="none"/>
        </w:rPr>
        <w:t>开发数据产品</w:t>
      </w:r>
      <w:r>
        <w:rPr>
          <w:rFonts w:hint="eastAsia" w:ascii="楷体" w:hAnsi="楷体" w:eastAsia="楷体" w:cs="楷体"/>
          <w:sz w:val="28"/>
          <w:szCs w:val="28"/>
          <w:highlight w:val="none"/>
          <w:lang w:val="en-US" w:eastAsia="zh-CN"/>
        </w:rPr>
        <w:t>等商业上的利用</w:t>
      </w:r>
      <w:r>
        <w:rPr>
          <w:rFonts w:hint="eastAsia" w:ascii="楷体" w:hAnsi="楷体" w:eastAsia="楷体" w:cs="楷体"/>
          <w:sz w:val="28"/>
          <w:szCs w:val="28"/>
          <w:highlight w:val="none"/>
        </w:rPr>
        <w:t>。</w:t>
      </w:r>
    </w:p>
    <w:p w14:paraId="4B235127">
      <w:pPr>
        <w:adjustRightInd w:val="0"/>
        <w:snapToGrid w:val="0"/>
        <w:spacing w:line="396" w:lineRule="auto"/>
        <w:ind w:firstLine="560" w:firstLineChars="200"/>
        <w:rPr>
          <w:rFonts w:hint="eastAsia" w:ascii="楷体" w:hAnsi="楷体" w:eastAsia="楷体" w:cs="楷体"/>
          <w:sz w:val="28"/>
          <w:szCs w:val="28"/>
          <w:highlight w:val="none"/>
          <w:lang w:eastAsia="zh-CN"/>
        </w:rPr>
      </w:pPr>
      <w:r>
        <w:rPr>
          <w:rFonts w:hint="eastAsia" w:ascii="楷体" w:hAnsi="楷体" w:eastAsia="楷体" w:cs="楷体"/>
          <w:sz w:val="28"/>
          <w:szCs w:val="28"/>
          <w:highlight w:val="none"/>
        </w:rPr>
        <w:t>15.3.</w:t>
      </w:r>
      <w:r>
        <w:rPr>
          <w:rFonts w:hint="eastAsia" w:ascii="楷体" w:hAnsi="楷体" w:eastAsia="楷体" w:cs="楷体"/>
          <w:sz w:val="28"/>
          <w:szCs w:val="28"/>
          <w:highlight w:val="none"/>
          <w:lang w:val="en-US" w:eastAsia="zh-CN"/>
        </w:rPr>
        <w:t>2</w:t>
      </w:r>
      <w:r>
        <w:rPr>
          <w:rFonts w:hint="eastAsia" w:ascii="楷体" w:hAnsi="楷体" w:eastAsia="楷体" w:cs="楷体"/>
          <w:sz w:val="28"/>
          <w:szCs w:val="28"/>
          <w:highlight w:val="none"/>
        </w:rPr>
        <w:t xml:space="preserve"> 甲方承诺采取加密、权限管控等措施保障数据安全，防止数据泄露或滥用</w:t>
      </w:r>
      <w:r>
        <w:rPr>
          <w:rFonts w:hint="eastAsia" w:ascii="楷体" w:hAnsi="楷体" w:eastAsia="楷体" w:cs="楷体"/>
          <w:sz w:val="28"/>
          <w:szCs w:val="28"/>
          <w:highlight w:val="none"/>
          <w:lang w:eastAsia="zh-CN"/>
        </w:rPr>
        <w:t>；</w:t>
      </w:r>
      <w:r>
        <w:rPr>
          <w:rFonts w:hint="eastAsia" w:ascii="楷体" w:hAnsi="楷体" w:eastAsia="楷体" w:cs="楷体"/>
          <w:sz w:val="28"/>
          <w:szCs w:val="28"/>
          <w:highlight w:val="none"/>
        </w:rPr>
        <w:t>基于</w:t>
      </w:r>
      <w:r>
        <w:rPr>
          <w:rFonts w:hint="eastAsia" w:ascii="楷体" w:hAnsi="楷体" w:eastAsia="楷体" w:cs="楷体"/>
          <w:sz w:val="28"/>
          <w:szCs w:val="28"/>
          <w:highlight w:val="none"/>
          <w:lang w:val="en-US" w:eastAsia="zh-CN"/>
        </w:rPr>
        <w:t>本合同业务</w:t>
      </w:r>
      <w:r>
        <w:rPr>
          <w:rFonts w:hint="eastAsia" w:ascii="楷体" w:hAnsi="楷体" w:eastAsia="楷体" w:cs="楷体"/>
          <w:sz w:val="28"/>
          <w:szCs w:val="28"/>
          <w:highlight w:val="none"/>
        </w:rPr>
        <w:t>数据开发的数据产品（如分析模型、报告）的知识产权及数据权益归甲方所有。</w:t>
      </w:r>
    </w:p>
    <w:p w14:paraId="16A2279A">
      <w:pPr>
        <w:ind w:firstLine="560" w:firstLineChars="200"/>
        <w:rPr>
          <w:rFonts w:hint="eastAsia" w:ascii="楷体" w:hAnsi="楷体" w:eastAsia="楷体" w:cs="楷体"/>
          <w:color w:val="auto"/>
          <w:sz w:val="28"/>
          <w:szCs w:val="28"/>
          <w:highlight w:val="none"/>
        </w:rPr>
      </w:pPr>
    </w:p>
    <w:p w14:paraId="6FBFDA71">
      <w:pPr>
        <w:ind w:firstLine="560" w:firstLineChars="200"/>
        <w:rPr>
          <w:rFonts w:hint="eastAsia" w:ascii="楷体" w:hAnsi="楷体" w:eastAsia="楷体" w:cs="楷体"/>
          <w:color w:val="auto"/>
          <w:sz w:val="28"/>
          <w:szCs w:val="28"/>
          <w:highlight w:val="none"/>
        </w:rPr>
      </w:pPr>
    </w:p>
    <w:p w14:paraId="73A14973">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附件：</w:t>
      </w:r>
    </w:p>
    <w:p w14:paraId="3FD52BB9">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附件一、甲乙双方营业执照（或身份证）</w:t>
      </w:r>
    </w:p>
    <w:p w14:paraId="65308E5C">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附件二、房屋产权证明文件</w:t>
      </w:r>
    </w:p>
    <w:p w14:paraId="7ABB60D9">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附件三、安全生产管理协议书</w:t>
      </w:r>
    </w:p>
    <w:p w14:paraId="7B99505A">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附件四、移交确认书</w:t>
      </w:r>
    </w:p>
    <w:p w14:paraId="5DC22160">
      <w:pPr>
        <w:ind w:firstLine="560" w:firstLineChars="200"/>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rPr>
        <w:t>附件五、反不正当竞争与反商业贿赂约定书</w:t>
      </w:r>
    </w:p>
    <w:p w14:paraId="73F904F7">
      <w:pPr>
        <w:ind w:firstLine="560" w:firstLineChars="200"/>
        <w:rPr>
          <w:rFonts w:hint="eastAsia" w:ascii="楷体" w:hAnsi="楷体" w:eastAsia="楷体" w:cs="楷体"/>
          <w:color w:val="auto"/>
          <w:sz w:val="28"/>
          <w:szCs w:val="28"/>
          <w:highlight w:val="none"/>
          <w:lang w:val="en-US" w:eastAsia="zh-CN"/>
        </w:rPr>
      </w:pPr>
      <w:r>
        <w:rPr>
          <w:rFonts w:hint="eastAsia" w:ascii="楷体" w:hAnsi="楷体" w:eastAsia="楷体" w:cs="楷体"/>
          <w:color w:val="auto"/>
          <w:sz w:val="28"/>
          <w:szCs w:val="28"/>
          <w:highlight w:val="none"/>
          <w:lang w:eastAsia="zh-CN"/>
        </w:rPr>
        <w:t>（</w:t>
      </w:r>
      <w:r>
        <w:rPr>
          <w:rFonts w:hint="eastAsia" w:ascii="楷体" w:hAnsi="楷体" w:eastAsia="楷体" w:cs="楷体"/>
          <w:color w:val="auto"/>
          <w:sz w:val="28"/>
          <w:szCs w:val="28"/>
          <w:highlight w:val="none"/>
          <w:lang w:val="en-US" w:eastAsia="zh-CN"/>
        </w:rPr>
        <w:t>以下无正文）</w:t>
      </w:r>
    </w:p>
    <w:p w14:paraId="4570CC43">
      <w:pPr>
        <w:ind w:firstLine="560" w:firstLineChars="200"/>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lang w:val="en-US" w:eastAsia="zh-CN"/>
        </w:rPr>
        <w:t>（合同签署页</w:t>
      </w:r>
      <w:r>
        <w:rPr>
          <w:rFonts w:hint="eastAsia" w:ascii="楷体" w:hAnsi="楷体" w:eastAsia="楷体" w:cs="楷体"/>
          <w:color w:val="auto"/>
          <w:sz w:val="28"/>
          <w:szCs w:val="28"/>
          <w:highlight w:val="none"/>
          <w:lang w:eastAsia="zh-CN"/>
        </w:rPr>
        <w:t>）</w:t>
      </w:r>
    </w:p>
    <w:p w14:paraId="78AA38C3">
      <w:pPr>
        <w:rPr>
          <w:rFonts w:hint="eastAsia" w:ascii="楷体" w:hAnsi="楷体" w:eastAsia="楷体" w:cs="楷体"/>
          <w:color w:val="auto"/>
          <w:sz w:val="28"/>
          <w:szCs w:val="28"/>
          <w:highlight w:val="none"/>
        </w:rPr>
      </w:pPr>
    </w:p>
    <w:p w14:paraId="75D901E8">
      <w:pPr>
        <w:rPr>
          <w:rFonts w:hint="eastAsia" w:ascii="楷体" w:hAnsi="楷体" w:eastAsia="楷体" w:cs="楷体"/>
          <w:color w:val="auto"/>
          <w:sz w:val="28"/>
          <w:szCs w:val="28"/>
          <w:highlight w:val="none"/>
        </w:rPr>
      </w:pPr>
    </w:p>
    <w:p w14:paraId="40007563">
      <w:pPr>
        <w:rPr>
          <w:rFonts w:hint="eastAsia" w:ascii="楷体" w:hAnsi="楷体" w:eastAsia="楷体" w:cs="楷体"/>
          <w:color w:val="auto"/>
          <w:sz w:val="28"/>
          <w:szCs w:val="28"/>
          <w:highlight w:val="none"/>
        </w:rPr>
      </w:pPr>
    </w:p>
    <w:p w14:paraId="2F04C5CE">
      <w:pPr>
        <w:rPr>
          <w:rFonts w:hint="eastAsia" w:ascii="楷体" w:hAnsi="楷体" w:eastAsia="楷体" w:cs="楷体"/>
          <w:color w:val="auto"/>
          <w:sz w:val="28"/>
          <w:szCs w:val="28"/>
          <w:highlight w:val="none"/>
        </w:rPr>
      </w:pPr>
    </w:p>
    <w:p w14:paraId="24CCB0CF">
      <w:pPr>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甲方：杭州</w:t>
      </w:r>
      <w:r>
        <w:rPr>
          <w:rFonts w:hint="eastAsia" w:ascii="楷体" w:hAnsi="楷体" w:eastAsia="楷体" w:cs="楷体"/>
          <w:color w:val="auto"/>
          <w:sz w:val="28"/>
          <w:szCs w:val="28"/>
          <w:highlight w:val="none"/>
          <w:lang w:val="en-US" w:eastAsia="zh-CN"/>
        </w:rPr>
        <w:t>市邻居中心管理</w:t>
      </w:r>
      <w:r>
        <w:rPr>
          <w:rFonts w:hint="eastAsia" w:ascii="楷体" w:hAnsi="楷体" w:eastAsia="楷体" w:cs="楷体"/>
          <w:color w:val="auto"/>
          <w:sz w:val="28"/>
          <w:szCs w:val="28"/>
          <w:highlight w:val="none"/>
        </w:rPr>
        <w:t>有限公司</w:t>
      </w:r>
    </w:p>
    <w:p w14:paraId="5C63C50D">
      <w:pPr>
        <w:rPr>
          <w:rFonts w:hint="default" w:ascii="楷体" w:hAnsi="楷体" w:eastAsia="楷体" w:cs="楷体"/>
          <w:color w:val="auto"/>
          <w:sz w:val="28"/>
          <w:szCs w:val="28"/>
          <w:highlight w:val="none"/>
          <w:lang w:val="en-US" w:eastAsia="zh-CN"/>
        </w:rPr>
      </w:pPr>
      <w:r>
        <w:rPr>
          <w:rFonts w:hint="eastAsia" w:ascii="楷体" w:hAnsi="楷体" w:eastAsia="楷体" w:cs="楷体"/>
          <w:color w:val="auto"/>
          <w:sz w:val="28"/>
          <w:szCs w:val="28"/>
          <w:highlight w:val="none"/>
          <w:lang w:val="en-US" w:eastAsia="zh-CN"/>
        </w:rPr>
        <w:t>法定代表人或授权代表：</w:t>
      </w:r>
    </w:p>
    <w:p w14:paraId="0407015C">
      <w:pPr>
        <w:rPr>
          <w:rFonts w:ascii="楷体" w:hAnsi="楷体" w:eastAsia="楷体" w:cs="楷体"/>
          <w:color w:val="auto"/>
          <w:sz w:val="28"/>
          <w:szCs w:val="28"/>
          <w:highlight w:val="none"/>
        </w:rPr>
      </w:pPr>
      <w:r>
        <w:rPr>
          <w:rFonts w:hint="eastAsia" w:ascii="楷体" w:hAnsi="楷体" w:eastAsia="楷体" w:cs="楷体"/>
          <w:color w:val="auto"/>
          <w:sz w:val="28"/>
          <w:szCs w:val="28"/>
          <w:highlight w:val="none"/>
          <w:lang w:val="en-US" w:eastAsia="zh-CN"/>
        </w:rPr>
        <w:t>经办人</w:t>
      </w:r>
      <w:r>
        <w:rPr>
          <w:rFonts w:hint="eastAsia" w:ascii="楷体" w:hAnsi="楷体" w:eastAsia="楷体" w:cs="楷体"/>
          <w:color w:val="auto"/>
          <w:sz w:val="28"/>
          <w:szCs w:val="28"/>
          <w:highlight w:val="none"/>
        </w:rPr>
        <w:t>（签字）：</w:t>
      </w:r>
    </w:p>
    <w:p w14:paraId="77747D27">
      <w:pPr>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签约日期：</w:t>
      </w:r>
      <w:r>
        <w:rPr>
          <w:rFonts w:hint="eastAsia" w:ascii="楷体" w:hAnsi="楷体" w:eastAsia="楷体" w:cs="楷体"/>
          <w:color w:val="auto"/>
          <w:sz w:val="28"/>
          <w:szCs w:val="28"/>
          <w:highlight w:val="none"/>
          <w:lang w:val="en-US" w:eastAsia="zh-CN"/>
        </w:rPr>
        <w:t xml:space="preserve"> </w:t>
      </w:r>
      <w:r>
        <w:rPr>
          <w:rFonts w:hint="eastAsia" w:ascii="楷体" w:hAnsi="楷体" w:eastAsia="楷体" w:cs="楷体"/>
          <w:color w:val="auto"/>
          <w:sz w:val="28"/>
          <w:szCs w:val="28"/>
          <w:highlight w:val="none"/>
        </w:rPr>
        <w:t xml:space="preserve"> </w:t>
      </w:r>
      <w:r>
        <w:rPr>
          <w:rFonts w:hint="eastAsia" w:ascii="楷体" w:hAnsi="楷体" w:eastAsia="楷体" w:cs="楷体"/>
          <w:color w:val="auto"/>
          <w:sz w:val="28"/>
          <w:szCs w:val="28"/>
          <w:highlight w:val="none"/>
          <w:lang w:val="en-US" w:eastAsia="zh-CN"/>
        </w:rPr>
        <w:t xml:space="preserve">  </w:t>
      </w:r>
      <w:r>
        <w:rPr>
          <w:rFonts w:hint="eastAsia" w:ascii="楷体" w:hAnsi="楷体" w:eastAsia="楷体" w:cs="楷体"/>
          <w:color w:val="auto"/>
          <w:sz w:val="28"/>
          <w:szCs w:val="28"/>
          <w:highlight w:val="none"/>
        </w:rPr>
        <w:t>年</w:t>
      </w:r>
      <w:r>
        <w:rPr>
          <w:rFonts w:hint="eastAsia" w:ascii="楷体" w:hAnsi="楷体" w:eastAsia="楷体" w:cs="楷体"/>
          <w:color w:val="auto"/>
          <w:sz w:val="28"/>
          <w:szCs w:val="28"/>
          <w:highlight w:val="none"/>
          <w:lang w:val="en-US" w:eastAsia="zh-CN"/>
        </w:rPr>
        <w:t xml:space="preserve"> </w:t>
      </w:r>
      <w:r>
        <w:rPr>
          <w:rFonts w:hint="eastAsia" w:ascii="楷体" w:hAnsi="楷体" w:eastAsia="楷体" w:cs="楷体"/>
          <w:color w:val="auto"/>
          <w:sz w:val="28"/>
          <w:szCs w:val="28"/>
          <w:highlight w:val="none"/>
        </w:rPr>
        <w:t xml:space="preserve"> 月 </w:t>
      </w:r>
      <w:r>
        <w:rPr>
          <w:rFonts w:hint="eastAsia" w:ascii="楷体" w:hAnsi="楷体" w:eastAsia="楷体" w:cs="楷体"/>
          <w:color w:val="auto"/>
          <w:sz w:val="28"/>
          <w:szCs w:val="28"/>
          <w:highlight w:val="none"/>
          <w:lang w:val="en-US" w:eastAsia="zh-CN"/>
        </w:rPr>
        <w:t xml:space="preserve"> </w:t>
      </w:r>
      <w:r>
        <w:rPr>
          <w:rFonts w:hint="eastAsia" w:ascii="楷体" w:hAnsi="楷体" w:eastAsia="楷体" w:cs="楷体"/>
          <w:color w:val="auto"/>
          <w:sz w:val="28"/>
          <w:szCs w:val="28"/>
          <w:highlight w:val="none"/>
        </w:rPr>
        <w:t>日</w:t>
      </w:r>
    </w:p>
    <w:p w14:paraId="3755AFF3">
      <w:pPr>
        <w:rPr>
          <w:rFonts w:ascii="楷体" w:hAnsi="楷体" w:eastAsia="楷体" w:cs="楷体"/>
          <w:color w:val="auto"/>
          <w:sz w:val="28"/>
          <w:szCs w:val="28"/>
          <w:highlight w:val="none"/>
        </w:rPr>
      </w:pPr>
    </w:p>
    <w:p w14:paraId="0714766A">
      <w:pPr>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乙方</w:t>
      </w:r>
      <w:r>
        <w:rPr>
          <w:rFonts w:hint="eastAsia" w:ascii="楷体" w:hAnsi="楷体" w:eastAsia="楷体" w:cs="楷体"/>
          <w:color w:val="auto"/>
          <w:sz w:val="28"/>
          <w:szCs w:val="28"/>
          <w:highlight w:val="none"/>
          <w:lang w:eastAsia="zh-CN"/>
        </w:rPr>
        <w:t>（</w:t>
      </w:r>
      <w:r>
        <w:rPr>
          <w:rFonts w:hint="eastAsia" w:ascii="楷体" w:hAnsi="楷体" w:eastAsia="楷体" w:cs="楷体"/>
          <w:color w:val="auto"/>
          <w:sz w:val="28"/>
          <w:szCs w:val="28"/>
          <w:highlight w:val="none"/>
          <w:lang w:val="en-US" w:eastAsia="zh-CN"/>
        </w:rPr>
        <w:t>签字或盖章</w:t>
      </w:r>
      <w:r>
        <w:rPr>
          <w:rFonts w:hint="eastAsia" w:ascii="楷体" w:hAnsi="楷体" w:eastAsia="楷体" w:cs="楷体"/>
          <w:color w:val="auto"/>
          <w:sz w:val="28"/>
          <w:szCs w:val="28"/>
          <w:highlight w:val="none"/>
          <w:lang w:eastAsia="zh-CN"/>
        </w:rPr>
        <w:t>）</w:t>
      </w:r>
      <w:r>
        <w:rPr>
          <w:rFonts w:hint="eastAsia" w:ascii="楷体" w:hAnsi="楷体" w:eastAsia="楷体" w:cs="楷体"/>
          <w:color w:val="auto"/>
          <w:sz w:val="28"/>
          <w:szCs w:val="28"/>
          <w:highlight w:val="none"/>
        </w:rPr>
        <w:t xml:space="preserve">：  </w:t>
      </w:r>
    </w:p>
    <w:p w14:paraId="22C9FA94">
      <w:pPr>
        <w:rPr>
          <w:rFonts w:ascii="楷体" w:hAnsi="楷体" w:eastAsia="楷体" w:cs="楷体"/>
          <w:color w:val="auto"/>
          <w:sz w:val="28"/>
          <w:szCs w:val="28"/>
          <w:highlight w:val="none"/>
        </w:rPr>
      </w:pPr>
      <w:r>
        <w:rPr>
          <w:rFonts w:hint="eastAsia" w:ascii="楷体" w:hAnsi="楷体" w:eastAsia="楷体" w:cs="楷体"/>
          <w:color w:val="auto"/>
          <w:sz w:val="28"/>
          <w:szCs w:val="28"/>
          <w:highlight w:val="none"/>
          <w:lang w:val="en-US" w:eastAsia="zh-CN"/>
        </w:rPr>
        <w:t>法定</w:t>
      </w:r>
      <w:r>
        <w:rPr>
          <w:rFonts w:hint="eastAsia" w:ascii="楷体" w:hAnsi="楷体" w:eastAsia="楷体" w:cs="楷体"/>
          <w:color w:val="auto"/>
          <w:sz w:val="28"/>
          <w:szCs w:val="28"/>
          <w:highlight w:val="none"/>
        </w:rPr>
        <w:t>代表人</w:t>
      </w:r>
      <w:r>
        <w:rPr>
          <w:rFonts w:hint="eastAsia" w:ascii="楷体" w:hAnsi="楷体" w:eastAsia="楷体" w:cs="楷体"/>
          <w:color w:val="auto"/>
          <w:sz w:val="28"/>
          <w:szCs w:val="28"/>
          <w:highlight w:val="none"/>
          <w:lang w:val="en-US" w:eastAsia="zh-CN"/>
        </w:rPr>
        <w:t>或授权代表</w:t>
      </w:r>
      <w:r>
        <w:rPr>
          <w:rFonts w:hint="eastAsia" w:ascii="楷体" w:hAnsi="楷体" w:eastAsia="楷体" w:cs="楷体"/>
          <w:color w:val="auto"/>
          <w:sz w:val="28"/>
          <w:szCs w:val="28"/>
          <w:highlight w:val="none"/>
        </w:rPr>
        <w:t>：</w:t>
      </w:r>
    </w:p>
    <w:p w14:paraId="126543FE">
      <w:pPr>
        <w:rPr>
          <w:rFonts w:hint="eastAsia" w:ascii="楷体" w:hAnsi="楷体" w:eastAsia="楷体" w:cs="楷体"/>
          <w:color w:val="auto"/>
          <w:sz w:val="28"/>
          <w:szCs w:val="28"/>
          <w:highlight w:val="none"/>
        </w:rPr>
        <w:sectPr>
          <w:footerReference r:id="rId6" w:type="first"/>
          <w:headerReference r:id="rId3" w:type="default"/>
          <w:footerReference r:id="rId4" w:type="default"/>
          <w:footerReference r:id="rId5" w:type="even"/>
          <w:pgSz w:w="11906" w:h="16838"/>
          <w:pgMar w:top="1440" w:right="1466" w:bottom="1440" w:left="1736" w:header="851" w:footer="992" w:gutter="0"/>
          <w:cols w:space="720" w:num="1"/>
          <w:titlePg/>
          <w:docGrid w:type="lines" w:linePitch="312" w:charSpace="0"/>
        </w:sectPr>
      </w:pPr>
      <w:r>
        <w:rPr>
          <w:rFonts w:hint="eastAsia" w:ascii="楷体" w:hAnsi="楷体" w:eastAsia="楷体" w:cs="楷体"/>
          <w:color w:val="auto"/>
          <w:sz w:val="28"/>
          <w:szCs w:val="28"/>
          <w:highlight w:val="none"/>
        </w:rPr>
        <w:t xml:space="preserve">签约日期： </w:t>
      </w:r>
      <w:r>
        <w:rPr>
          <w:rFonts w:hint="eastAsia" w:ascii="楷体" w:hAnsi="楷体" w:eastAsia="楷体" w:cs="楷体"/>
          <w:color w:val="auto"/>
          <w:sz w:val="28"/>
          <w:szCs w:val="28"/>
          <w:highlight w:val="none"/>
          <w:lang w:val="en-US" w:eastAsia="zh-CN"/>
        </w:rPr>
        <w:t xml:space="preserve">   </w:t>
      </w:r>
      <w:r>
        <w:rPr>
          <w:rFonts w:hint="eastAsia" w:ascii="楷体" w:hAnsi="楷体" w:eastAsia="楷体" w:cs="楷体"/>
          <w:color w:val="auto"/>
          <w:sz w:val="28"/>
          <w:szCs w:val="28"/>
          <w:highlight w:val="none"/>
        </w:rPr>
        <w:t>年</w:t>
      </w:r>
      <w:r>
        <w:rPr>
          <w:rFonts w:hint="eastAsia" w:ascii="楷体" w:hAnsi="楷体" w:eastAsia="楷体" w:cs="楷体"/>
          <w:color w:val="auto"/>
          <w:sz w:val="28"/>
          <w:szCs w:val="28"/>
          <w:highlight w:val="none"/>
          <w:lang w:val="en-US" w:eastAsia="zh-CN"/>
        </w:rPr>
        <w:t xml:space="preserve"> </w:t>
      </w:r>
      <w:r>
        <w:rPr>
          <w:rFonts w:hint="eastAsia" w:ascii="楷体" w:hAnsi="楷体" w:eastAsia="楷体" w:cs="楷体"/>
          <w:color w:val="auto"/>
          <w:sz w:val="28"/>
          <w:szCs w:val="28"/>
          <w:highlight w:val="none"/>
        </w:rPr>
        <w:t xml:space="preserve"> 月 </w:t>
      </w:r>
      <w:r>
        <w:rPr>
          <w:rFonts w:hint="eastAsia" w:ascii="楷体" w:hAnsi="楷体" w:eastAsia="楷体" w:cs="楷体"/>
          <w:color w:val="auto"/>
          <w:sz w:val="28"/>
          <w:szCs w:val="28"/>
          <w:highlight w:val="none"/>
          <w:lang w:val="en-US" w:eastAsia="zh-CN"/>
        </w:rPr>
        <w:t xml:space="preserve"> </w:t>
      </w:r>
      <w:r>
        <w:rPr>
          <w:rFonts w:hint="eastAsia" w:ascii="楷体" w:hAnsi="楷体" w:eastAsia="楷体" w:cs="楷体"/>
          <w:color w:val="auto"/>
          <w:sz w:val="28"/>
          <w:szCs w:val="28"/>
          <w:highlight w:val="none"/>
        </w:rPr>
        <w:t>日</w:t>
      </w:r>
    </w:p>
    <w:p w14:paraId="0B0A1668">
      <w:pPr>
        <w:spacing w:line="360" w:lineRule="auto"/>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附件一</w:t>
      </w:r>
    </w:p>
    <w:p w14:paraId="44DE2848">
      <w:pPr>
        <w:spacing w:line="360" w:lineRule="auto"/>
        <w:jc w:val="center"/>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甲乙双方营业执照（或身份证）</w:t>
      </w:r>
    </w:p>
    <w:p w14:paraId="661CC10B">
      <w:pPr>
        <w:spacing w:line="360" w:lineRule="auto"/>
        <w:jc w:val="left"/>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br w:type="page"/>
      </w:r>
      <w:r>
        <w:rPr>
          <w:rFonts w:hint="eastAsia" w:ascii="楷体" w:hAnsi="楷体" w:eastAsia="楷体" w:cs="楷体"/>
          <w:color w:val="auto"/>
          <w:sz w:val="28"/>
          <w:szCs w:val="28"/>
          <w:highlight w:val="none"/>
        </w:rPr>
        <w:t>附件二</w:t>
      </w:r>
    </w:p>
    <w:p w14:paraId="575936FC">
      <w:pPr>
        <w:pStyle w:val="3"/>
        <w:spacing w:line="360" w:lineRule="auto"/>
        <w:ind w:left="0" w:leftChars="0"/>
        <w:jc w:val="center"/>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rPr>
        <w:t>房屋产权证明文件</w:t>
      </w:r>
    </w:p>
    <w:p w14:paraId="3FD2CA42">
      <w:pPr>
        <w:pStyle w:val="3"/>
        <w:spacing w:line="360" w:lineRule="auto"/>
        <w:ind w:left="0" w:leftChars="0"/>
      </w:pPr>
    </w:p>
    <w:p w14:paraId="2BC18551">
      <w:pPr>
        <w:pStyle w:val="3"/>
        <w:spacing w:line="360" w:lineRule="auto"/>
        <w:ind w:left="0" w:leftChars="0"/>
        <w:rPr>
          <w:rFonts w:hint="eastAsia" w:ascii="楷体" w:hAnsi="楷体" w:eastAsia="楷体" w:cs="楷体"/>
          <w:color w:val="auto"/>
          <w:sz w:val="28"/>
          <w:szCs w:val="28"/>
          <w:highlight w:val="none"/>
        </w:rPr>
      </w:pPr>
      <w:r>
        <w:drawing>
          <wp:inline distT="0" distB="0" distL="114300" distR="114300">
            <wp:extent cx="5271135" cy="5885180"/>
            <wp:effectExtent l="0" t="0" r="0" b="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8"/>
                    <a:srcRect t="3936" b="10242"/>
                    <a:stretch>
                      <a:fillRect/>
                    </a:stretch>
                  </pic:blipFill>
                  <pic:spPr>
                    <a:xfrm>
                      <a:off x="0" y="0"/>
                      <a:ext cx="5271135" cy="5885180"/>
                    </a:xfrm>
                    <a:prstGeom prst="rect">
                      <a:avLst/>
                    </a:prstGeom>
                    <a:noFill/>
                    <a:ln>
                      <a:noFill/>
                    </a:ln>
                  </pic:spPr>
                </pic:pic>
              </a:graphicData>
            </a:graphic>
          </wp:inline>
        </w:drawing>
      </w:r>
    </w:p>
    <w:p w14:paraId="76CD109B">
      <w:pPr>
        <w:pStyle w:val="3"/>
        <w:spacing w:line="360" w:lineRule="auto"/>
        <w:ind w:left="0" w:leftChars="0"/>
      </w:pPr>
      <w:r>
        <w:drawing>
          <wp:inline distT="0" distB="0" distL="114300" distR="114300">
            <wp:extent cx="5268595" cy="1159510"/>
            <wp:effectExtent l="0" t="0" r="8255" b="254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9"/>
                    <a:stretch>
                      <a:fillRect/>
                    </a:stretch>
                  </pic:blipFill>
                  <pic:spPr>
                    <a:xfrm>
                      <a:off x="0" y="0"/>
                      <a:ext cx="5268595" cy="1159510"/>
                    </a:xfrm>
                    <a:prstGeom prst="rect">
                      <a:avLst/>
                    </a:prstGeom>
                    <a:noFill/>
                    <a:ln>
                      <a:noFill/>
                    </a:ln>
                  </pic:spPr>
                </pic:pic>
              </a:graphicData>
            </a:graphic>
          </wp:inline>
        </w:drawing>
      </w:r>
    </w:p>
    <w:p w14:paraId="1CCCB98D">
      <w:pPr>
        <w:pStyle w:val="3"/>
        <w:spacing w:line="360" w:lineRule="auto"/>
        <w:ind w:left="0" w:leftChars="0"/>
      </w:pPr>
    </w:p>
    <w:p w14:paraId="416229B1">
      <w:pPr>
        <w:pStyle w:val="3"/>
        <w:spacing w:line="360" w:lineRule="auto"/>
        <w:ind w:left="0" w:leftChars="0"/>
      </w:pPr>
      <w:r>
        <w:drawing>
          <wp:inline distT="0" distB="0" distL="114300" distR="114300">
            <wp:extent cx="5273675" cy="6186805"/>
            <wp:effectExtent l="0" t="0" r="3175" b="444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0"/>
                    <a:stretch>
                      <a:fillRect/>
                    </a:stretch>
                  </pic:blipFill>
                  <pic:spPr>
                    <a:xfrm>
                      <a:off x="0" y="0"/>
                      <a:ext cx="5273675" cy="6186805"/>
                    </a:xfrm>
                    <a:prstGeom prst="rect">
                      <a:avLst/>
                    </a:prstGeom>
                    <a:noFill/>
                    <a:ln>
                      <a:noFill/>
                    </a:ln>
                  </pic:spPr>
                </pic:pic>
              </a:graphicData>
            </a:graphic>
          </wp:inline>
        </w:drawing>
      </w:r>
    </w:p>
    <w:p w14:paraId="4DEF7354">
      <w:pPr>
        <w:pStyle w:val="3"/>
        <w:spacing w:line="360" w:lineRule="auto"/>
        <w:ind w:left="0" w:leftChars="0"/>
      </w:pPr>
      <w:r>
        <w:drawing>
          <wp:inline distT="0" distB="0" distL="114300" distR="114300">
            <wp:extent cx="5273040" cy="1212215"/>
            <wp:effectExtent l="0" t="0" r="3810" b="698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1"/>
                    <a:stretch>
                      <a:fillRect/>
                    </a:stretch>
                  </pic:blipFill>
                  <pic:spPr>
                    <a:xfrm>
                      <a:off x="0" y="0"/>
                      <a:ext cx="5273040" cy="1212215"/>
                    </a:xfrm>
                    <a:prstGeom prst="rect">
                      <a:avLst/>
                    </a:prstGeom>
                    <a:noFill/>
                    <a:ln>
                      <a:noFill/>
                    </a:ln>
                  </pic:spPr>
                </pic:pic>
              </a:graphicData>
            </a:graphic>
          </wp:inline>
        </w:drawing>
      </w:r>
    </w:p>
    <w:p w14:paraId="3DA0E26C">
      <w:pPr>
        <w:pStyle w:val="3"/>
        <w:spacing w:line="360" w:lineRule="auto"/>
        <w:ind w:left="0" w:leftChars="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br w:type="page"/>
      </w:r>
      <w:r>
        <w:rPr>
          <w:rFonts w:hint="eastAsia" w:ascii="楷体" w:hAnsi="楷体" w:eastAsia="楷体" w:cs="楷体"/>
          <w:color w:val="auto"/>
          <w:sz w:val="28"/>
          <w:szCs w:val="28"/>
          <w:highlight w:val="none"/>
        </w:rPr>
        <w:t>附件三</w:t>
      </w:r>
    </w:p>
    <w:p w14:paraId="0E2B2200">
      <w:pPr>
        <w:pStyle w:val="3"/>
        <w:spacing w:line="360" w:lineRule="auto"/>
        <w:ind w:left="0" w:leftChars="0"/>
        <w:jc w:val="center"/>
        <w:rPr>
          <w:rFonts w:hint="eastAsia" w:ascii="楷体" w:hAnsi="楷体" w:eastAsia="楷体" w:cs="楷体"/>
          <w:b/>
          <w:color w:val="auto"/>
          <w:sz w:val="28"/>
          <w:szCs w:val="28"/>
          <w:highlight w:val="none"/>
        </w:rPr>
      </w:pPr>
      <w:r>
        <w:rPr>
          <w:rFonts w:hint="eastAsia" w:ascii="楷体" w:hAnsi="楷体" w:eastAsia="楷体" w:cs="楷体"/>
          <w:b/>
          <w:color w:val="auto"/>
          <w:sz w:val="28"/>
          <w:szCs w:val="28"/>
          <w:highlight w:val="none"/>
        </w:rPr>
        <w:t>安全生产管理协议书</w:t>
      </w:r>
    </w:p>
    <w:p w14:paraId="2BBAEA6D">
      <w:pPr>
        <w:rPr>
          <w:rFonts w:hint="eastAsia" w:ascii="楷体" w:hAnsi="楷体" w:eastAsia="楷体" w:cs="楷体"/>
          <w:color w:val="auto"/>
          <w:kern w:val="0"/>
          <w:sz w:val="28"/>
          <w:szCs w:val="28"/>
          <w:highlight w:val="none"/>
          <w:lang w:bidi="ar"/>
        </w:rPr>
      </w:pPr>
    </w:p>
    <w:p w14:paraId="6D59A6A1">
      <w:pPr>
        <w:ind w:firstLine="0" w:firstLineChars="0"/>
        <w:rPr>
          <w:rFonts w:hint="default" w:ascii="楷体" w:hAnsi="楷体" w:eastAsia="楷体" w:cs="楷体"/>
          <w:b/>
          <w:bCs/>
          <w:color w:val="auto"/>
          <w:sz w:val="28"/>
          <w:szCs w:val="28"/>
          <w:highlight w:val="none"/>
          <w:lang w:val="en-US" w:eastAsia="zh-CN"/>
        </w:rPr>
      </w:pPr>
      <w:r>
        <w:rPr>
          <w:rFonts w:hint="eastAsia" w:ascii="楷体" w:hAnsi="楷体" w:eastAsia="楷体" w:cs="楷体"/>
          <w:b/>
          <w:bCs/>
          <w:color w:val="auto"/>
          <w:sz w:val="28"/>
          <w:szCs w:val="28"/>
          <w:highlight w:val="none"/>
        </w:rPr>
        <w:t>甲方：</w:t>
      </w:r>
      <w:r>
        <w:rPr>
          <w:rFonts w:hint="eastAsia" w:ascii="楷体" w:hAnsi="楷体" w:eastAsia="楷体" w:cs="楷体"/>
          <w:b/>
          <w:bCs/>
          <w:color w:val="auto"/>
          <w:sz w:val="28"/>
          <w:szCs w:val="28"/>
          <w:highlight w:val="none"/>
          <w:lang w:val="en-US" w:eastAsia="zh-CN"/>
        </w:rPr>
        <w:t>杭州市邻居中心管理限公司</w:t>
      </w:r>
    </w:p>
    <w:p w14:paraId="1FBC7647">
      <w:pPr>
        <w:ind w:firstLine="0" w:firstLineChars="0"/>
        <w:rPr>
          <w:rFonts w:hint="eastAsia" w:ascii="楷体" w:hAnsi="楷体" w:eastAsia="楷体" w:cs="楷体"/>
          <w:b/>
          <w:bCs/>
          <w:color w:val="auto"/>
          <w:sz w:val="28"/>
          <w:szCs w:val="28"/>
          <w:highlight w:val="none"/>
          <w:lang w:eastAsia="zh-CN"/>
        </w:rPr>
      </w:pPr>
      <w:r>
        <w:rPr>
          <w:rFonts w:hint="eastAsia" w:ascii="楷体" w:hAnsi="楷体" w:eastAsia="楷体" w:cs="楷体"/>
          <w:b/>
          <w:bCs/>
          <w:color w:val="auto"/>
          <w:sz w:val="28"/>
          <w:szCs w:val="28"/>
          <w:highlight w:val="none"/>
        </w:rPr>
        <w:t>乙方：</w:t>
      </w:r>
    </w:p>
    <w:p w14:paraId="6CCEE942">
      <w:pPr>
        <w:ind w:firstLine="560" w:firstLineChars="200"/>
        <w:rPr>
          <w:rFonts w:hint="eastAsia" w:ascii="楷体" w:hAnsi="楷体" w:eastAsia="楷体" w:cs="楷体"/>
          <w:color w:val="auto"/>
          <w:sz w:val="28"/>
          <w:szCs w:val="28"/>
          <w:highlight w:val="none"/>
        </w:rPr>
      </w:pPr>
    </w:p>
    <w:p w14:paraId="6F6BA2AF">
      <w:pPr>
        <w:ind w:firstLine="560" w:firstLineChars="200"/>
        <w:rPr>
          <w:rFonts w:hint="eastAsia" w:ascii="楷体" w:hAnsi="楷体" w:eastAsia="楷体" w:cs="楷体"/>
          <w:color w:val="auto"/>
          <w:sz w:val="28"/>
          <w:szCs w:val="28"/>
          <w:highlight w:val="none"/>
          <w:lang w:val="zh-CN"/>
        </w:rPr>
      </w:pPr>
      <w:r>
        <w:rPr>
          <w:rFonts w:hint="eastAsia" w:ascii="楷体" w:hAnsi="楷体" w:eastAsia="楷体" w:cs="楷体"/>
          <w:color w:val="auto"/>
          <w:sz w:val="28"/>
          <w:szCs w:val="28"/>
          <w:highlight w:val="none"/>
        </w:rPr>
        <w:t>为全面贯彻落实安全生产工作的具体要求，坚持 “安全第一、 预防为主”的基本原则，加强安全监督管理，落实安全责任制，</w:t>
      </w:r>
      <w:r>
        <w:rPr>
          <w:rFonts w:hint="eastAsia" w:ascii="楷体" w:hAnsi="楷体" w:eastAsia="楷体" w:cs="楷体"/>
          <w:color w:val="auto"/>
          <w:sz w:val="28"/>
          <w:szCs w:val="28"/>
          <w:highlight w:val="none"/>
          <w:lang w:val="zh-CN"/>
        </w:rPr>
        <w:t>确保出租经营场所安全、稳定运营，明确双方各自承担的安全责任、权利和义务等。根据《中华人民共和国安全生产法》《中华人民共和国消防法》《中华人民共和国特种设备</w:t>
      </w:r>
      <w:r>
        <w:rPr>
          <w:rFonts w:hint="eastAsia" w:ascii="楷体" w:hAnsi="楷体" w:eastAsia="楷体" w:cs="楷体"/>
          <w:color w:val="auto"/>
          <w:sz w:val="28"/>
          <w:szCs w:val="28"/>
          <w:highlight w:val="none"/>
          <w:lang w:val="en-US" w:eastAsia="zh-CN"/>
        </w:rPr>
        <w:t>安全</w:t>
      </w:r>
      <w:r>
        <w:rPr>
          <w:rFonts w:hint="eastAsia" w:ascii="楷体" w:hAnsi="楷体" w:eastAsia="楷体" w:cs="楷体"/>
          <w:color w:val="auto"/>
          <w:sz w:val="28"/>
          <w:szCs w:val="28"/>
          <w:highlight w:val="none"/>
          <w:lang w:val="zh-CN"/>
        </w:rPr>
        <w:t>法》《机关、团体、企业、事业单位消防安全管理规定》《浙江省消防条例》《高层民用建筑消防安全管理规定》《</w:t>
      </w:r>
      <w:r>
        <w:rPr>
          <w:rFonts w:hint="eastAsia" w:ascii="楷体" w:hAnsi="楷体" w:eastAsia="楷体" w:cs="楷体"/>
          <w:color w:val="auto"/>
          <w:sz w:val="28"/>
          <w:szCs w:val="28"/>
          <w:highlight w:val="none"/>
          <w:lang w:val="zh-CN" w:eastAsia="zh-CN"/>
        </w:rPr>
        <w:t>浙江省房屋使用安全管理条例</w:t>
      </w:r>
      <w:r>
        <w:rPr>
          <w:rFonts w:hint="eastAsia" w:ascii="楷体" w:hAnsi="楷体" w:eastAsia="楷体" w:cs="楷体"/>
          <w:color w:val="auto"/>
          <w:sz w:val="28"/>
          <w:szCs w:val="28"/>
          <w:highlight w:val="none"/>
          <w:lang w:val="zh-CN"/>
        </w:rPr>
        <w:t>》及有关法律、法规规定，经双方协商，达成如下协议：</w:t>
      </w:r>
    </w:p>
    <w:p w14:paraId="589D2F8D">
      <w:pPr>
        <w:ind w:firstLine="560" w:firstLineChars="200"/>
        <w:rPr>
          <w:rFonts w:hint="eastAsia" w:ascii="楷体" w:hAnsi="楷体" w:eastAsia="楷体" w:cs="楷体"/>
          <w:color w:val="auto"/>
          <w:sz w:val="28"/>
          <w:szCs w:val="28"/>
          <w:highlight w:val="none"/>
          <w:lang w:val="zh-CN"/>
        </w:rPr>
      </w:pPr>
      <w:r>
        <w:rPr>
          <w:rFonts w:hint="eastAsia" w:ascii="楷体" w:hAnsi="楷体" w:eastAsia="楷体" w:cs="楷体"/>
          <w:color w:val="auto"/>
          <w:sz w:val="28"/>
          <w:szCs w:val="28"/>
          <w:highlight w:val="none"/>
          <w:lang w:val="en-US" w:eastAsia="zh-CN"/>
        </w:rPr>
        <w:t>一</w:t>
      </w:r>
      <w:r>
        <w:rPr>
          <w:rFonts w:hint="eastAsia" w:ascii="楷体" w:hAnsi="楷体" w:eastAsia="楷体" w:cs="楷体"/>
          <w:color w:val="auto"/>
          <w:sz w:val="28"/>
          <w:szCs w:val="28"/>
          <w:highlight w:val="none"/>
          <w:lang w:val="zh-CN"/>
        </w:rPr>
        <w:t>、甲方安全职责</w:t>
      </w:r>
    </w:p>
    <w:p w14:paraId="203DB8AC">
      <w:pPr>
        <w:ind w:firstLine="560" w:firstLineChars="200"/>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lang w:val="en-US" w:eastAsia="zh-CN"/>
        </w:rPr>
        <w:t>甲方</w:t>
      </w:r>
      <w:r>
        <w:rPr>
          <w:rFonts w:hint="eastAsia" w:ascii="楷体" w:hAnsi="楷体" w:eastAsia="楷体" w:cs="楷体"/>
          <w:color w:val="auto"/>
          <w:sz w:val="28"/>
          <w:szCs w:val="28"/>
          <w:highlight w:val="none"/>
        </w:rPr>
        <w:t>有权对乙方在管理区域内的安全生产</w:t>
      </w:r>
      <w:r>
        <w:rPr>
          <w:rFonts w:hint="eastAsia" w:ascii="楷体" w:hAnsi="楷体" w:eastAsia="楷体" w:cs="楷体"/>
          <w:color w:val="auto"/>
          <w:sz w:val="28"/>
          <w:szCs w:val="28"/>
          <w:highlight w:val="none"/>
          <w:lang w:eastAsia="zh-CN"/>
        </w:rPr>
        <w:t>、</w:t>
      </w:r>
      <w:r>
        <w:rPr>
          <w:rFonts w:hint="eastAsia" w:ascii="楷体" w:hAnsi="楷体" w:eastAsia="楷体" w:cs="楷体"/>
          <w:color w:val="auto"/>
          <w:sz w:val="28"/>
          <w:szCs w:val="28"/>
          <w:highlight w:val="none"/>
        </w:rPr>
        <w:t>消防</w:t>
      </w:r>
      <w:r>
        <w:rPr>
          <w:rFonts w:hint="eastAsia" w:ascii="楷体" w:hAnsi="楷体" w:eastAsia="楷体" w:cs="楷体"/>
          <w:color w:val="auto"/>
          <w:sz w:val="28"/>
          <w:szCs w:val="28"/>
          <w:highlight w:val="none"/>
          <w:lang w:eastAsia="zh-CN"/>
        </w:rPr>
        <w:t>、</w:t>
      </w:r>
      <w:r>
        <w:rPr>
          <w:rFonts w:hint="eastAsia" w:ascii="楷体" w:hAnsi="楷体" w:eastAsia="楷体" w:cs="楷体"/>
          <w:color w:val="auto"/>
          <w:sz w:val="28"/>
          <w:szCs w:val="28"/>
          <w:highlight w:val="none"/>
          <w:lang w:val="en-US" w:eastAsia="zh-CN"/>
        </w:rPr>
        <w:t>公共安全</w:t>
      </w:r>
      <w:r>
        <w:rPr>
          <w:rFonts w:hint="eastAsia" w:ascii="楷体" w:hAnsi="楷体" w:eastAsia="楷体" w:cs="楷体"/>
          <w:color w:val="auto"/>
          <w:sz w:val="28"/>
          <w:szCs w:val="28"/>
          <w:highlight w:val="none"/>
        </w:rPr>
        <w:t>等情况进行检查，并要求乙方对</w:t>
      </w:r>
      <w:r>
        <w:rPr>
          <w:rFonts w:hint="eastAsia" w:ascii="楷体" w:hAnsi="楷体" w:eastAsia="楷体" w:cs="楷体"/>
          <w:color w:val="auto"/>
          <w:sz w:val="28"/>
          <w:szCs w:val="28"/>
          <w:highlight w:val="none"/>
          <w:lang w:val="en-US" w:eastAsia="zh-CN"/>
        </w:rPr>
        <w:t>存在</w:t>
      </w:r>
      <w:r>
        <w:rPr>
          <w:rFonts w:hint="eastAsia" w:ascii="楷体" w:hAnsi="楷体" w:eastAsia="楷体" w:cs="楷体"/>
          <w:color w:val="auto"/>
          <w:sz w:val="28"/>
          <w:szCs w:val="28"/>
          <w:highlight w:val="none"/>
        </w:rPr>
        <w:t>的不安全隐患</w:t>
      </w:r>
      <w:r>
        <w:rPr>
          <w:rFonts w:hint="eastAsia" w:ascii="楷体" w:hAnsi="楷体" w:eastAsia="楷体" w:cs="楷体"/>
          <w:color w:val="auto"/>
          <w:sz w:val="28"/>
          <w:szCs w:val="28"/>
          <w:highlight w:val="none"/>
          <w:lang w:val="en-US" w:eastAsia="zh-CN"/>
        </w:rPr>
        <w:t>限期</w:t>
      </w:r>
      <w:r>
        <w:rPr>
          <w:rFonts w:hint="eastAsia" w:ascii="楷体" w:hAnsi="楷体" w:eastAsia="楷体" w:cs="楷体"/>
          <w:color w:val="auto"/>
          <w:sz w:val="28"/>
          <w:szCs w:val="28"/>
          <w:highlight w:val="none"/>
        </w:rPr>
        <w:t>进行整改。</w:t>
      </w:r>
      <w:r>
        <w:rPr>
          <w:rFonts w:hint="eastAsia" w:ascii="楷体" w:hAnsi="楷体" w:eastAsia="楷体" w:cs="楷体"/>
          <w:color w:val="auto"/>
          <w:kern w:val="0"/>
          <w:sz w:val="28"/>
          <w:szCs w:val="28"/>
          <w:highlight w:val="none"/>
          <w:lang w:val="en-US" w:eastAsia="zh-CN" w:bidi="ar"/>
        </w:rPr>
        <w:t>甲方将不定期对乙方进行安全培训并发放相关宣传资料，乙方需予以配合。</w:t>
      </w:r>
    </w:p>
    <w:p w14:paraId="5A12B682">
      <w:pPr>
        <w:ind w:firstLine="560" w:firstLineChars="200"/>
        <w:rPr>
          <w:rFonts w:hint="eastAsia" w:ascii="楷体" w:hAnsi="楷体" w:eastAsia="楷体" w:cs="楷体"/>
          <w:color w:val="auto"/>
          <w:sz w:val="28"/>
          <w:szCs w:val="28"/>
          <w:highlight w:val="none"/>
          <w:lang w:val="zh-CN"/>
        </w:rPr>
      </w:pPr>
      <w:r>
        <w:rPr>
          <w:rFonts w:hint="eastAsia" w:ascii="楷体" w:hAnsi="楷体" w:eastAsia="楷体" w:cs="楷体"/>
          <w:color w:val="auto"/>
          <w:sz w:val="28"/>
          <w:szCs w:val="28"/>
          <w:highlight w:val="none"/>
          <w:lang w:val="en-US" w:eastAsia="zh-CN"/>
        </w:rPr>
        <w:t>二</w:t>
      </w:r>
      <w:r>
        <w:rPr>
          <w:rFonts w:hint="eastAsia" w:ascii="楷体" w:hAnsi="楷体" w:eastAsia="楷体" w:cs="楷体"/>
          <w:color w:val="auto"/>
          <w:sz w:val="28"/>
          <w:szCs w:val="28"/>
          <w:highlight w:val="none"/>
          <w:lang w:val="zh-CN"/>
        </w:rPr>
        <w:t>、乙方安全职责</w:t>
      </w:r>
    </w:p>
    <w:p w14:paraId="281319ED">
      <w:pPr>
        <w:ind w:firstLine="560" w:firstLineChars="200"/>
        <w:rPr>
          <w:rFonts w:hint="eastAsia" w:ascii="楷体" w:hAnsi="楷体" w:eastAsia="楷体" w:cs="楷体"/>
          <w:color w:val="000000" w:themeColor="text1"/>
          <w:sz w:val="28"/>
          <w:szCs w:val="28"/>
          <w:highlight w:val="none"/>
          <w:lang w:val="zh-CN"/>
          <w14:textFill>
            <w14:solidFill>
              <w14:schemeClr w14:val="tx1"/>
            </w14:solidFill>
          </w14:textFill>
        </w:rPr>
      </w:pPr>
      <w:r>
        <w:rPr>
          <w:rFonts w:hint="eastAsia" w:ascii="楷体" w:hAnsi="楷体" w:eastAsia="楷体" w:cs="楷体"/>
          <w:color w:val="000000" w:themeColor="text1"/>
          <w:sz w:val="28"/>
          <w:szCs w:val="28"/>
          <w:highlight w:val="none"/>
          <w:lang w:val="en-US" w:eastAsia="zh-CN"/>
          <w14:textFill>
            <w14:solidFill>
              <w14:schemeClr w14:val="tx1"/>
            </w14:solidFill>
          </w14:textFill>
        </w:rPr>
        <w:t>乙方明确：本协议签订后，乙方应作为房屋安全使用和管理责任人，对房屋使用安全承担主要责任（包括但不限于合理使用、定期检查、安全隐患报告等）。若乙方将该房屋对外转租或分租，乙方作为房屋安全使用和管理责任人的责任亦不免除。</w:t>
      </w:r>
    </w:p>
    <w:p w14:paraId="590268BD">
      <w:pPr>
        <w:ind w:firstLine="560" w:firstLineChars="200"/>
        <w:rPr>
          <w:rFonts w:hint="eastAsia" w:ascii="楷体" w:hAnsi="楷体" w:eastAsia="楷体" w:cs="楷体"/>
          <w:color w:val="auto"/>
          <w:sz w:val="28"/>
          <w:szCs w:val="28"/>
          <w:highlight w:val="none"/>
          <w:lang w:val="en-US" w:eastAsia="zh-CN"/>
        </w:rPr>
      </w:pPr>
      <w:r>
        <w:rPr>
          <w:rFonts w:hint="eastAsia" w:ascii="楷体" w:hAnsi="楷体" w:eastAsia="楷体" w:cs="楷体"/>
          <w:color w:val="auto"/>
          <w:sz w:val="28"/>
          <w:szCs w:val="28"/>
          <w:highlight w:val="none"/>
          <w:lang w:val="zh-CN"/>
        </w:rPr>
        <w:t>（</w:t>
      </w:r>
      <w:r>
        <w:rPr>
          <w:rFonts w:hint="eastAsia" w:ascii="楷体" w:hAnsi="楷体" w:eastAsia="楷体" w:cs="楷体"/>
          <w:color w:val="auto"/>
          <w:sz w:val="28"/>
          <w:szCs w:val="28"/>
          <w:highlight w:val="none"/>
          <w:lang w:val="en-US" w:eastAsia="zh-CN"/>
        </w:rPr>
        <w:t>一）管理责任</w:t>
      </w:r>
    </w:p>
    <w:p w14:paraId="41BA2FFF">
      <w:pPr>
        <w:ind w:firstLine="560" w:firstLineChars="200"/>
        <w:rPr>
          <w:rFonts w:hint="eastAsia" w:ascii="楷体" w:hAnsi="楷体" w:eastAsia="楷体" w:cs="楷体"/>
          <w:color w:val="auto"/>
          <w:sz w:val="28"/>
          <w:szCs w:val="28"/>
          <w:highlight w:val="none"/>
          <w:lang w:val="en-US" w:eastAsia="zh-CN"/>
        </w:rPr>
      </w:pPr>
      <w:r>
        <w:rPr>
          <w:rFonts w:hint="eastAsia" w:ascii="楷体" w:hAnsi="楷体" w:eastAsia="楷体" w:cs="楷体"/>
          <w:color w:val="auto"/>
          <w:sz w:val="28"/>
          <w:szCs w:val="28"/>
          <w:highlight w:val="none"/>
          <w:lang w:val="en-US" w:eastAsia="zh-CN"/>
        </w:rPr>
        <w:t>1、有效贯彻落实涉及</w:t>
      </w:r>
      <w:r>
        <w:rPr>
          <w:rFonts w:hint="eastAsia" w:ascii="楷体" w:hAnsi="楷体" w:eastAsia="楷体" w:cs="楷体"/>
          <w:color w:val="auto"/>
          <w:sz w:val="28"/>
          <w:szCs w:val="28"/>
          <w:highlight w:val="none"/>
          <w:lang w:val="zh-CN"/>
        </w:rPr>
        <w:t>安全生产</w:t>
      </w:r>
      <w:r>
        <w:rPr>
          <w:rFonts w:hint="eastAsia" w:ascii="楷体" w:hAnsi="楷体" w:eastAsia="楷体" w:cs="楷体"/>
          <w:color w:val="auto"/>
          <w:sz w:val="28"/>
          <w:szCs w:val="28"/>
          <w:highlight w:val="none"/>
          <w:lang w:val="en-US" w:eastAsia="zh-CN"/>
        </w:rPr>
        <w:t>有关法律、法规及甲方提出的安全生产要求，特种工种必须持证上岗（包括但不限于高配、电工、锅炉、消控管理人员等）。</w:t>
      </w:r>
    </w:p>
    <w:p w14:paraId="0B1FE838">
      <w:pPr>
        <w:ind w:firstLine="560" w:firstLineChars="200"/>
        <w:rPr>
          <w:rFonts w:hint="eastAsia" w:ascii="楷体" w:hAnsi="楷体" w:eastAsia="楷体" w:cs="楷体"/>
          <w:color w:val="auto"/>
          <w:sz w:val="28"/>
          <w:szCs w:val="28"/>
          <w:highlight w:val="none"/>
          <w:lang w:val="en-US" w:eastAsia="zh-CN"/>
        </w:rPr>
      </w:pPr>
      <w:r>
        <w:rPr>
          <w:rFonts w:hint="eastAsia" w:ascii="楷体" w:hAnsi="楷体" w:eastAsia="楷体" w:cs="楷体"/>
          <w:color w:val="auto"/>
          <w:sz w:val="28"/>
          <w:szCs w:val="28"/>
          <w:highlight w:val="none"/>
          <w:lang w:val="en-US" w:eastAsia="zh-CN"/>
        </w:rPr>
        <w:t>2、乙方在承租期间要定期对包括但不限于消防、防汛、电力、燃气及防护设施设备进行维护、保养，以确保各项设施设备合规、完好运行。</w:t>
      </w:r>
    </w:p>
    <w:p w14:paraId="12F689A5">
      <w:pPr>
        <w:ind w:firstLine="560" w:firstLineChars="200"/>
        <w:rPr>
          <w:rFonts w:hint="eastAsia" w:ascii="楷体" w:hAnsi="楷体" w:eastAsia="楷体" w:cs="楷体"/>
          <w:color w:val="auto"/>
          <w:sz w:val="28"/>
          <w:szCs w:val="28"/>
          <w:highlight w:val="none"/>
          <w:lang w:val="en-US" w:eastAsia="zh-CN"/>
        </w:rPr>
      </w:pPr>
      <w:r>
        <w:rPr>
          <w:rFonts w:hint="eastAsia" w:ascii="楷体" w:hAnsi="楷体" w:eastAsia="楷体" w:cs="楷体"/>
          <w:color w:val="auto"/>
          <w:sz w:val="28"/>
          <w:szCs w:val="28"/>
          <w:highlight w:val="none"/>
          <w:lang w:val="en-US" w:eastAsia="zh-CN"/>
        </w:rPr>
        <w:t>3、</w:t>
      </w:r>
      <w:r>
        <w:rPr>
          <w:rFonts w:hint="eastAsia" w:ascii="楷体" w:hAnsi="楷体" w:eastAsia="楷体" w:cs="楷体"/>
          <w:color w:val="auto"/>
          <w:sz w:val="28"/>
          <w:szCs w:val="28"/>
          <w:highlight w:val="none"/>
          <w:lang w:val="zh-CN" w:eastAsia="zh-CN"/>
        </w:rPr>
        <w:t>对甲方检查提出的安全隐患问题（</w:t>
      </w:r>
      <w:r>
        <w:rPr>
          <w:rFonts w:hint="eastAsia" w:ascii="楷体" w:hAnsi="楷体" w:eastAsia="楷体" w:cs="楷体"/>
          <w:color w:val="auto"/>
          <w:sz w:val="28"/>
          <w:szCs w:val="28"/>
          <w:highlight w:val="none"/>
          <w:lang w:val="en-US" w:eastAsia="zh-CN"/>
        </w:rPr>
        <w:t>安全隐患</w:t>
      </w:r>
      <w:r>
        <w:rPr>
          <w:rFonts w:hint="eastAsia" w:ascii="楷体" w:hAnsi="楷体" w:eastAsia="楷体" w:cs="楷体"/>
          <w:color w:val="auto"/>
          <w:sz w:val="28"/>
          <w:szCs w:val="28"/>
          <w:highlight w:val="none"/>
          <w:lang w:val="zh-CN" w:eastAsia="zh-CN"/>
        </w:rPr>
        <w:t>整改</w:t>
      </w:r>
      <w:r>
        <w:rPr>
          <w:rFonts w:hint="eastAsia" w:ascii="楷体" w:hAnsi="楷体" w:eastAsia="楷体" w:cs="楷体"/>
          <w:color w:val="auto"/>
          <w:sz w:val="28"/>
          <w:szCs w:val="28"/>
          <w:highlight w:val="none"/>
          <w:lang w:val="en-US" w:eastAsia="zh-CN"/>
        </w:rPr>
        <w:t>单</w:t>
      </w:r>
      <w:r>
        <w:rPr>
          <w:rFonts w:hint="eastAsia" w:ascii="楷体" w:hAnsi="楷体" w:eastAsia="楷体" w:cs="楷体"/>
          <w:color w:val="auto"/>
          <w:sz w:val="28"/>
          <w:szCs w:val="28"/>
          <w:highlight w:val="none"/>
          <w:lang w:val="zh-CN" w:eastAsia="zh-CN"/>
        </w:rPr>
        <w:t>），应立即进行整改。</w:t>
      </w:r>
      <w:r>
        <w:rPr>
          <w:rFonts w:hint="eastAsia" w:ascii="楷体" w:hAnsi="楷体" w:eastAsia="楷体" w:cs="楷体"/>
          <w:color w:val="auto"/>
          <w:sz w:val="28"/>
          <w:szCs w:val="28"/>
          <w:highlight w:val="none"/>
          <w:lang w:val="zh-CN"/>
        </w:rPr>
        <w:t>对一时无法解决的</w:t>
      </w:r>
      <w:r>
        <w:rPr>
          <w:rFonts w:hint="eastAsia" w:ascii="楷体" w:hAnsi="楷体" w:eastAsia="楷体" w:cs="楷体"/>
          <w:color w:val="auto"/>
          <w:sz w:val="28"/>
          <w:szCs w:val="28"/>
          <w:highlight w:val="none"/>
          <w:lang w:val="en-US" w:eastAsia="zh-CN"/>
        </w:rPr>
        <w:t>安全隐患</w:t>
      </w:r>
      <w:r>
        <w:rPr>
          <w:rFonts w:hint="eastAsia" w:ascii="楷体" w:hAnsi="楷体" w:eastAsia="楷体" w:cs="楷体"/>
          <w:color w:val="auto"/>
          <w:sz w:val="28"/>
          <w:szCs w:val="28"/>
          <w:highlight w:val="none"/>
          <w:lang w:val="zh-CN"/>
        </w:rPr>
        <w:t>，</w:t>
      </w:r>
      <w:r>
        <w:rPr>
          <w:rFonts w:hint="eastAsia" w:ascii="楷体" w:hAnsi="楷体" w:eastAsia="楷体" w:cs="楷体"/>
          <w:color w:val="auto"/>
          <w:sz w:val="28"/>
          <w:szCs w:val="28"/>
          <w:highlight w:val="none"/>
          <w:lang w:val="zh-CN" w:eastAsia="zh-CN"/>
        </w:rPr>
        <w:t>必须采取有效措施</w:t>
      </w:r>
      <w:r>
        <w:rPr>
          <w:rFonts w:hint="eastAsia" w:ascii="楷体" w:hAnsi="楷体" w:eastAsia="楷体" w:cs="楷体"/>
          <w:color w:val="auto"/>
          <w:sz w:val="28"/>
          <w:szCs w:val="28"/>
          <w:highlight w:val="none"/>
          <w:lang w:val="zh-CN"/>
        </w:rPr>
        <w:t>进行补救，并将处理</w:t>
      </w:r>
      <w:r>
        <w:rPr>
          <w:rFonts w:hint="eastAsia" w:ascii="楷体" w:hAnsi="楷体" w:eastAsia="楷体" w:cs="楷体"/>
          <w:color w:val="auto"/>
          <w:sz w:val="28"/>
          <w:szCs w:val="28"/>
          <w:highlight w:val="none"/>
          <w:lang w:val="zh-CN" w:eastAsia="zh-CN"/>
        </w:rPr>
        <w:t>结果及时反馈</w:t>
      </w:r>
      <w:r>
        <w:rPr>
          <w:rFonts w:hint="eastAsia" w:ascii="楷体" w:hAnsi="楷体" w:eastAsia="楷体" w:cs="楷体"/>
          <w:color w:val="auto"/>
          <w:sz w:val="28"/>
          <w:szCs w:val="28"/>
          <w:highlight w:val="none"/>
          <w:lang w:val="en-US" w:eastAsia="zh-CN"/>
        </w:rPr>
        <w:t>甲方</w:t>
      </w:r>
      <w:r>
        <w:rPr>
          <w:rFonts w:hint="eastAsia" w:ascii="楷体" w:hAnsi="楷体" w:eastAsia="楷体" w:cs="楷体"/>
          <w:color w:val="auto"/>
          <w:sz w:val="28"/>
          <w:szCs w:val="28"/>
          <w:highlight w:val="none"/>
          <w:lang w:val="zh-CN" w:eastAsia="zh-CN"/>
        </w:rPr>
        <w:t>。</w:t>
      </w:r>
      <w:r>
        <w:rPr>
          <w:rFonts w:hint="eastAsia" w:ascii="楷体" w:hAnsi="楷体" w:eastAsia="楷体" w:cs="楷体"/>
          <w:color w:val="auto"/>
          <w:sz w:val="28"/>
          <w:szCs w:val="28"/>
          <w:highlight w:val="none"/>
          <w:lang w:val="en-US" w:eastAsia="zh-CN"/>
        </w:rPr>
        <w:t>整改期间的一切安全生产责任及费用由乙方承担。</w:t>
      </w:r>
    </w:p>
    <w:p w14:paraId="2D7D6D9C">
      <w:pPr>
        <w:ind w:firstLine="560" w:firstLineChars="200"/>
        <w:rPr>
          <w:rFonts w:hint="eastAsia" w:ascii="楷体" w:hAnsi="楷体" w:eastAsia="楷体" w:cs="楷体"/>
          <w:color w:val="auto"/>
          <w:sz w:val="28"/>
          <w:szCs w:val="28"/>
          <w:highlight w:val="none"/>
          <w:lang w:val="en-US" w:eastAsia="zh-CN"/>
        </w:rPr>
      </w:pPr>
      <w:r>
        <w:rPr>
          <w:rFonts w:hint="eastAsia" w:ascii="楷体" w:hAnsi="楷体" w:eastAsia="楷体" w:cs="楷体"/>
          <w:color w:val="auto"/>
          <w:sz w:val="28"/>
          <w:szCs w:val="28"/>
          <w:highlight w:val="none"/>
          <w:lang w:val="en-US" w:eastAsia="zh-CN"/>
        </w:rPr>
        <w:t>4、未经甲方及有关部门批准，乙方不得私自改变房屋结构和屋内外设施设备，不得对房屋楼层上下内部隔层打通，不得拆毁房屋承重（包含剪力墙）等设施墙体；不得违法、违规、违章施工；禁止占用承租区域内、外安全通道。乙</w:t>
      </w:r>
      <w:r>
        <w:rPr>
          <w:rFonts w:hint="eastAsia" w:ascii="楷体" w:hAnsi="楷体" w:eastAsia="楷体" w:cs="楷体"/>
          <w:color w:val="auto"/>
          <w:sz w:val="28"/>
          <w:szCs w:val="28"/>
          <w:highlight w:val="none"/>
        </w:rPr>
        <w:t>方应当遵守《浙江省房屋使用安全管理条例》</w:t>
      </w:r>
      <w:r>
        <w:rPr>
          <w:rFonts w:hint="eastAsia" w:ascii="楷体" w:hAnsi="楷体" w:eastAsia="楷体" w:cs="楷体"/>
          <w:color w:val="auto"/>
          <w:sz w:val="28"/>
          <w:szCs w:val="28"/>
          <w:highlight w:val="none"/>
          <w:lang w:val="en-US" w:eastAsia="zh-CN"/>
        </w:rPr>
        <w:t>等相关规定</w:t>
      </w:r>
      <w:r>
        <w:rPr>
          <w:rFonts w:hint="eastAsia" w:ascii="楷体" w:hAnsi="楷体" w:eastAsia="楷体" w:cs="楷体"/>
          <w:color w:val="auto"/>
          <w:sz w:val="28"/>
          <w:szCs w:val="28"/>
          <w:highlight w:val="none"/>
        </w:rPr>
        <w:t>，</w:t>
      </w:r>
      <w:r>
        <w:rPr>
          <w:rFonts w:hint="eastAsia" w:ascii="楷体" w:hAnsi="楷体" w:eastAsia="楷体" w:cs="楷体"/>
          <w:color w:val="auto"/>
          <w:sz w:val="28"/>
          <w:szCs w:val="28"/>
          <w:highlight w:val="none"/>
          <w:lang w:val="en-US" w:eastAsia="zh-CN"/>
        </w:rPr>
        <w:t>乙方</w:t>
      </w:r>
      <w:r>
        <w:rPr>
          <w:rFonts w:hint="eastAsia" w:ascii="楷体" w:hAnsi="楷体" w:eastAsia="楷体" w:cs="楷体"/>
          <w:color w:val="auto"/>
          <w:sz w:val="28"/>
          <w:szCs w:val="28"/>
          <w:highlight w:val="none"/>
        </w:rPr>
        <w:t>作为房屋使用安全责任人</w:t>
      </w:r>
      <w:r>
        <w:rPr>
          <w:rFonts w:hint="eastAsia" w:ascii="楷体" w:hAnsi="楷体" w:eastAsia="楷体" w:cs="楷体"/>
          <w:color w:val="auto"/>
          <w:sz w:val="28"/>
          <w:szCs w:val="28"/>
          <w:highlight w:val="none"/>
          <w:lang w:val="en-US" w:eastAsia="zh-CN"/>
        </w:rPr>
        <w:t>需严格</w:t>
      </w:r>
      <w:r>
        <w:rPr>
          <w:rFonts w:hint="eastAsia" w:ascii="楷体" w:hAnsi="楷体" w:eastAsia="楷体" w:cs="楷体"/>
          <w:color w:val="auto"/>
          <w:sz w:val="28"/>
          <w:szCs w:val="28"/>
          <w:highlight w:val="none"/>
        </w:rPr>
        <w:t>履行房屋使用安全管理有关职责和义务，承担房屋使用安全责任，不得实施任何给房屋造成安全隐患的行为。在承租期内，</w:t>
      </w:r>
      <w:r>
        <w:rPr>
          <w:rFonts w:hint="eastAsia" w:ascii="楷体" w:hAnsi="楷体" w:eastAsia="楷体" w:cs="楷体"/>
          <w:color w:val="auto"/>
          <w:sz w:val="28"/>
          <w:szCs w:val="28"/>
          <w:highlight w:val="none"/>
          <w:lang w:val="en-US" w:eastAsia="zh-CN"/>
        </w:rPr>
        <w:t>乙</w:t>
      </w:r>
      <w:r>
        <w:rPr>
          <w:rFonts w:hint="eastAsia" w:ascii="楷体" w:hAnsi="楷体" w:eastAsia="楷体" w:cs="楷体"/>
          <w:color w:val="auto"/>
          <w:sz w:val="28"/>
          <w:szCs w:val="28"/>
          <w:highlight w:val="none"/>
        </w:rPr>
        <w:t>方不得在房屋内进行黄赌毒、传销等违法活动，不得在房屋内发布危害国家安全的信息和程序，并且应妥善、安全地使用房屋相关设施设备。</w:t>
      </w:r>
    </w:p>
    <w:p w14:paraId="3E65DBF4">
      <w:pPr>
        <w:ind w:firstLine="560" w:firstLineChars="200"/>
        <w:rPr>
          <w:rFonts w:hint="eastAsia" w:ascii="楷体" w:hAnsi="楷体" w:eastAsia="楷体" w:cs="楷体"/>
          <w:color w:val="auto"/>
          <w:sz w:val="28"/>
          <w:szCs w:val="28"/>
          <w:highlight w:val="none"/>
          <w:lang w:val="en-US" w:eastAsia="zh-CN"/>
        </w:rPr>
      </w:pPr>
      <w:r>
        <w:rPr>
          <w:rFonts w:hint="eastAsia" w:ascii="楷体" w:hAnsi="楷体" w:eastAsia="楷体" w:cs="楷体"/>
          <w:color w:val="auto"/>
          <w:sz w:val="28"/>
          <w:szCs w:val="28"/>
          <w:highlight w:val="none"/>
          <w:lang w:val="en-US" w:eastAsia="zh-CN"/>
        </w:rPr>
        <w:t>5、未经甲方及有关部门批准，租赁区域内不得设有大功率充电设备（包括但不限于</w:t>
      </w:r>
      <w:r>
        <w:rPr>
          <w:rFonts w:hint="eastAsia" w:ascii="楷体" w:hAnsi="楷体" w:eastAsia="楷体" w:cs="楷体"/>
          <w:color w:val="auto"/>
          <w:kern w:val="2"/>
          <w:sz w:val="28"/>
          <w:szCs w:val="28"/>
          <w:highlight w:val="none"/>
          <w:lang w:val="en-US" w:eastAsia="zh-CN" w:bidi="ar"/>
        </w:rPr>
        <w:t>厨房电器、</w:t>
      </w:r>
      <w:r>
        <w:rPr>
          <w:rFonts w:hint="eastAsia" w:ascii="楷体" w:hAnsi="楷体" w:eastAsia="楷体" w:cs="楷体"/>
          <w:color w:val="auto"/>
          <w:sz w:val="28"/>
          <w:szCs w:val="28"/>
          <w:highlight w:val="none"/>
          <w:lang w:val="en-US" w:eastAsia="zh-CN"/>
        </w:rPr>
        <w:t>电瓶自行车、新能源汽车充电设备等），严禁私拉、乱接电线以及使用麻花线，铺设线路需穿金属管或用非燃硬塑料管保护；严禁出现住宿与生产、仓储、经营中的一种或一种以上使用功能违章混合设置在同一空间内的建筑“三合一”场所。</w:t>
      </w:r>
    </w:p>
    <w:p w14:paraId="3F421A41">
      <w:pPr>
        <w:ind w:firstLine="560" w:firstLineChars="200"/>
        <w:rPr>
          <w:rFonts w:hint="eastAsia" w:ascii="楷体" w:hAnsi="楷体" w:eastAsia="楷体" w:cs="楷体"/>
          <w:color w:val="auto"/>
          <w:sz w:val="28"/>
          <w:szCs w:val="28"/>
          <w:highlight w:val="none"/>
          <w:lang w:val="en-US" w:eastAsia="zh-CN"/>
        </w:rPr>
      </w:pPr>
      <w:r>
        <w:rPr>
          <w:rFonts w:hint="eastAsia" w:ascii="楷体" w:hAnsi="楷体" w:eastAsia="楷体" w:cs="楷体"/>
          <w:color w:val="auto"/>
          <w:sz w:val="28"/>
          <w:szCs w:val="28"/>
          <w:highlight w:val="none"/>
          <w:lang w:val="en-US" w:eastAsia="zh-CN"/>
        </w:rPr>
        <w:t>（二）消防责任</w:t>
      </w:r>
    </w:p>
    <w:p w14:paraId="709C38B7">
      <w:pPr>
        <w:ind w:firstLine="560" w:firstLineChars="200"/>
        <w:rPr>
          <w:rFonts w:hint="eastAsia" w:ascii="楷体" w:hAnsi="楷体" w:eastAsia="楷体" w:cs="楷体"/>
          <w:color w:val="auto"/>
          <w:sz w:val="28"/>
          <w:szCs w:val="28"/>
          <w:highlight w:val="none"/>
          <w:lang w:val="en-US" w:eastAsia="zh-CN"/>
        </w:rPr>
      </w:pPr>
      <w:r>
        <w:rPr>
          <w:rFonts w:hint="eastAsia" w:ascii="楷体" w:hAnsi="楷体" w:eastAsia="楷体" w:cs="楷体"/>
          <w:color w:val="auto"/>
          <w:sz w:val="28"/>
          <w:szCs w:val="28"/>
          <w:highlight w:val="none"/>
          <w:lang w:val="en-US" w:eastAsia="zh-CN"/>
        </w:rPr>
        <w:t>1、</w:t>
      </w:r>
      <w:r>
        <w:rPr>
          <w:rFonts w:hint="eastAsia" w:ascii="楷体" w:hAnsi="楷体" w:eastAsia="楷体" w:cs="楷体"/>
          <w:color w:val="auto"/>
          <w:sz w:val="28"/>
          <w:szCs w:val="28"/>
          <w:highlight w:val="none"/>
        </w:rPr>
        <w:t>乙方从接收物业（承租及管理区域）之日起，其法定代表人</w:t>
      </w:r>
      <w:r>
        <w:rPr>
          <w:rFonts w:hint="eastAsia" w:ascii="楷体" w:hAnsi="楷体" w:eastAsia="楷体" w:cs="楷体"/>
          <w:color w:val="auto"/>
          <w:sz w:val="28"/>
          <w:szCs w:val="28"/>
          <w:highlight w:val="none"/>
          <w:lang w:eastAsia="zh-CN"/>
        </w:rPr>
        <w:t>、</w:t>
      </w:r>
      <w:r>
        <w:rPr>
          <w:rFonts w:hint="eastAsia" w:ascii="楷体" w:hAnsi="楷体" w:eastAsia="楷体" w:cs="楷体"/>
          <w:color w:val="auto"/>
          <w:sz w:val="28"/>
          <w:szCs w:val="28"/>
          <w:highlight w:val="none"/>
          <w:lang w:val="en-US" w:eastAsia="zh-CN"/>
        </w:rPr>
        <w:t>实际控制人</w:t>
      </w:r>
      <w:r>
        <w:rPr>
          <w:rFonts w:hint="eastAsia" w:ascii="楷体" w:hAnsi="楷体" w:eastAsia="楷体" w:cs="楷体"/>
          <w:color w:val="auto"/>
          <w:sz w:val="28"/>
          <w:szCs w:val="28"/>
          <w:highlight w:val="none"/>
        </w:rPr>
        <w:t>或主要负责人为物业（承租及管理区域）消防安全责任人，对承租的物业（承租及管理区域）消防安全工作负全面的责任</w:t>
      </w:r>
      <w:r>
        <w:rPr>
          <w:rFonts w:hint="eastAsia" w:ascii="楷体" w:hAnsi="楷体" w:eastAsia="楷体" w:cs="楷体"/>
          <w:color w:val="auto"/>
          <w:sz w:val="28"/>
          <w:szCs w:val="28"/>
          <w:highlight w:val="none"/>
          <w:lang w:eastAsia="zh-CN"/>
        </w:rPr>
        <w:t>，</w:t>
      </w:r>
      <w:r>
        <w:rPr>
          <w:rFonts w:hint="eastAsia" w:ascii="楷体" w:hAnsi="楷体" w:eastAsia="楷体" w:cs="楷体"/>
          <w:color w:val="auto"/>
          <w:sz w:val="28"/>
          <w:szCs w:val="28"/>
          <w:highlight w:val="none"/>
        </w:rPr>
        <w:t>并</w:t>
      </w:r>
      <w:r>
        <w:rPr>
          <w:rFonts w:hint="eastAsia" w:ascii="楷体" w:hAnsi="楷体" w:eastAsia="楷体" w:cs="楷体"/>
          <w:color w:val="auto"/>
          <w:sz w:val="28"/>
          <w:szCs w:val="28"/>
          <w:highlight w:val="none"/>
          <w:lang w:val="en-US" w:eastAsia="zh-CN"/>
        </w:rPr>
        <w:t>根据国家及地方法规规定要求</w:t>
      </w:r>
      <w:r>
        <w:rPr>
          <w:rFonts w:hint="eastAsia" w:ascii="楷体" w:hAnsi="楷体" w:eastAsia="楷体" w:cs="楷体"/>
          <w:color w:val="auto"/>
          <w:sz w:val="28"/>
          <w:szCs w:val="28"/>
          <w:highlight w:val="none"/>
        </w:rPr>
        <w:t>与所辖区消防大队签订《消防安全责任书》。</w:t>
      </w:r>
    </w:p>
    <w:p w14:paraId="281F2635">
      <w:pPr>
        <w:ind w:firstLine="560" w:firstLineChars="200"/>
        <w:rPr>
          <w:rFonts w:hint="eastAsia" w:ascii="楷体" w:hAnsi="楷体" w:eastAsia="楷体" w:cs="楷体"/>
          <w:color w:val="auto"/>
          <w:sz w:val="28"/>
          <w:szCs w:val="28"/>
          <w:highlight w:val="none"/>
          <w:lang w:val="en-US" w:eastAsia="zh-CN"/>
        </w:rPr>
      </w:pPr>
      <w:r>
        <w:rPr>
          <w:rFonts w:hint="eastAsia" w:ascii="楷体" w:hAnsi="楷体" w:eastAsia="楷体" w:cs="楷体"/>
          <w:color w:val="auto"/>
          <w:sz w:val="28"/>
          <w:szCs w:val="28"/>
          <w:highlight w:val="none"/>
          <w:lang w:val="en-US" w:eastAsia="zh-CN"/>
        </w:rPr>
        <w:t>2、</w:t>
      </w:r>
      <w:r>
        <w:rPr>
          <w:rFonts w:hint="eastAsia" w:ascii="楷体" w:hAnsi="楷体" w:eastAsia="楷体" w:cs="楷体"/>
          <w:color w:val="auto"/>
          <w:sz w:val="28"/>
          <w:szCs w:val="28"/>
          <w:highlight w:val="none"/>
        </w:rPr>
        <w:t>承租物业投入使用</w:t>
      </w:r>
      <w:r>
        <w:rPr>
          <w:rFonts w:hint="eastAsia" w:ascii="楷体" w:hAnsi="楷体" w:eastAsia="楷体" w:cs="楷体"/>
          <w:color w:val="auto"/>
          <w:sz w:val="28"/>
          <w:szCs w:val="28"/>
          <w:highlight w:val="none"/>
          <w:lang w:val="en-US" w:eastAsia="zh-CN"/>
        </w:rPr>
        <w:t>前</w:t>
      </w:r>
      <w:r>
        <w:rPr>
          <w:rFonts w:hint="eastAsia" w:ascii="楷体" w:hAnsi="楷体" w:eastAsia="楷体" w:cs="楷体"/>
          <w:color w:val="auto"/>
          <w:sz w:val="28"/>
          <w:szCs w:val="28"/>
          <w:highlight w:val="none"/>
        </w:rPr>
        <w:t>，</w:t>
      </w:r>
      <w:r>
        <w:rPr>
          <w:rFonts w:hint="eastAsia" w:ascii="楷体" w:hAnsi="楷体" w:eastAsia="楷体" w:cs="楷体"/>
          <w:color w:val="auto"/>
          <w:sz w:val="28"/>
          <w:szCs w:val="28"/>
          <w:highlight w:val="none"/>
          <w:lang w:val="en-US"/>
        </w:rPr>
        <w:t>乙方</w:t>
      </w:r>
      <w:r>
        <w:rPr>
          <w:rFonts w:hint="eastAsia" w:ascii="楷体" w:hAnsi="楷体" w:eastAsia="楷体" w:cs="楷体"/>
          <w:color w:val="auto"/>
          <w:sz w:val="28"/>
          <w:szCs w:val="28"/>
          <w:highlight w:val="none"/>
        </w:rPr>
        <w:t>必须按照《中华人民共和国消防法》和《机关、团体、企业、事业单位消防安全管理规定》以及地方等有关法律、法规，建立本单位消防安全管理制度</w:t>
      </w:r>
      <w:r>
        <w:rPr>
          <w:rFonts w:hint="eastAsia" w:ascii="楷体" w:hAnsi="楷体" w:eastAsia="楷体" w:cs="楷体"/>
          <w:color w:val="auto"/>
          <w:sz w:val="28"/>
          <w:szCs w:val="28"/>
          <w:highlight w:val="none"/>
          <w:lang w:eastAsia="zh-CN"/>
        </w:rPr>
        <w:t>，</w:t>
      </w:r>
      <w:r>
        <w:rPr>
          <w:rFonts w:hint="eastAsia" w:ascii="楷体" w:hAnsi="楷体" w:eastAsia="楷体" w:cs="楷体"/>
          <w:color w:val="auto"/>
          <w:sz w:val="28"/>
          <w:szCs w:val="28"/>
          <w:highlight w:val="none"/>
          <w:lang w:val="en-US" w:eastAsia="zh-CN"/>
        </w:rPr>
        <w:t>同时将</w:t>
      </w:r>
      <w:r>
        <w:rPr>
          <w:rFonts w:hint="eastAsia" w:ascii="楷体" w:hAnsi="楷体" w:eastAsia="楷体" w:cs="楷体"/>
          <w:color w:val="auto"/>
          <w:sz w:val="28"/>
          <w:szCs w:val="28"/>
          <w:highlight w:val="none"/>
        </w:rPr>
        <w:t>火警火灾应急处置预案报相关单位审核同意，落实专人负责</w:t>
      </w:r>
      <w:r>
        <w:rPr>
          <w:rFonts w:hint="eastAsia" w:ascii="楷体" w:hAnsi="楷体" w:eastAsia="楷体" w:cs="楷体"/>
          <w:color w:val="auto"/>
          <w:sz w:val="28"/>
          <w:szCs w:val="28"/>
          <w:highlight w:val="none"/>
          <w:lang w:eastAsia="zh-CN"/>
        </w:rPr>
        <w:t>，</w:t>
      </w:r>
      <w:r>
        <w:rPr>
          <w:rFonts w:hint="eastAsia" w:ascii="楷体" w:hAnsi="楷体" w:eastAsia="楷体" w:cs="楷体"/>
          <w:color w:val="auto"/>
          <w:sz w:val="28"/>
          <w:szCs w:val="28"/>
          <w:highlight w:val="none"/>
        </w:rPr>
        <w:t>并负责</w:t>
      </w:r>
      <w:r>
        <w:rPr>
          <w:rFonts w:hint="eastAsia" w:ascii="楷体" w:hAnsi="楷体" w:eastAsia="楷体" w:cs="楷体"/>
          <w:color w:val="auto"/>
          <w:sz w:val="28"/>
          <w:szCs w:val="28"/>
          <w:highlight w:val="none"/>
          <w:lang w:val="en-US" w:eastAsia="zh-CN"/>
        </w:rPr>
        <w:t>监</w:t>
      </w:r>
      <w:r>
        <w:rPr>
          <w:rFonts w:hint="eastAsia" w:ascii="楷体" w:hAnsi="楷体" w:eastAsia="楷体" w:cs="楷体"/>
          <w:color w:val="auto"/>
          <w:sz w:val="28"/>
          <w:szCs w:val="28"/>
          <w:highlight w:val="none"/>
        </w:rPr>
        <w:t>督执行。落实各级防火责任制，</w:t>
      </w:r>
      <w:r>
        <w:rPr>
          <w:rFonts w:hint="eastAsia" w:ascii="楷体" w:hAnsi="楷体" w:eastAsia="楷体" w:cs="楷体"/>
          <w:color w:val="auto"/>
          <w:sz w:val="28"/>
          <w:szCs w:val="28"/>
          <w:highlight w:val="none"/>
          <w:lang w:val="en-US" w:eastAsia="zh-CN"/>
        </w:rPr>
        <w:t>创建</w:t>
      </w:r>
      <w:r>
        <w:rPr>
          <w:rFonts w:hint="eastAsia" w:ascii="楷体" w:hAnsi="楷体" w:eastAsia="楷体" w:cs="楷体"/>
          <w:color w:val="auto"/>
          <w:sz w:val="28"/>
          <w:szCs w:val="28"/>
          <w:highlight w:val="none"/>
        </w:rPr>
        <w:t>消防安全条件，完善消防设施。</w:t>
      </w:r>
    </w:p>
    <w:p w14:paraId="364F9F4A">
      <w:pPr>
        <w:ind w:firstLine="560" w:firstLineChars="200"/>
        <w:rPr>
          <w:rFonts w:hint="eastAsia" w:ascii="楷体" w:hAnsi="楷体" w:eastAsia="楷体" w:cs="楷体"/>
          <w:color w:val="auto"/>
          <w:sz w:val="28"/>
          <w:szCs w:val="28"/>
          <w:highlight w:val="none"/>
          <w:lang w:val="en-US" w:eastAsia="zh-CN"/>
        </w:rPr>
      </w:pPr>
      <w:r>
        <w:rPr>
          <w:rFonts w:hint="eastAsia" w:ascii="楷体" w:hAnsi="楷体" w:eastAsia="楷体" w:cs="楷体"/>
          <w:color w:val="auto"/>
          <w:sz w:val="28"/>
          <w:szCs w:val="28"/>
          <w:highlight w:val="none"/>
          <w:lang w:val="en-US" w:eastAsia="zh-CN"/>
        </w:rPr>
        <w:t>3、未经甲方及有关部门批准，严禁私自改动消防设施设备，确保消防设施设备正常运行，同时在重点防火区域内禁止增设与区域内工作无关的设备及其他影响消防安全的行为。</w:t>
      </w:r>
    </w:p>
    <w:p w14:paraId="70A8FFCC">
      <w:pPr>
        <w:ind w:firstLine="560" w:firstLineChars="200"/>
        <w:rPr>
          <w:rFonts w:hint="eastAsia" w:ascii="楷体" w:hAnsi="楷体" w:eastAsia="楷体" w:cs="楷体"/>
          <w:color w:val="auto"/>
          <w:sz w:val="28"/>
          <w:szCs w:val="28"/>
          <w:highlight w:val="none"/>
          <w:lang w:val="en-US" w:eastAsia="zh-CN"/>
        </w:rPr>
      </w:pPr>
      <w:r>
        <w:rPr>
          <w:rFonts w:hint="eastAsia" w:ascii="楷体" w:hAnsi="楷体" w:eastAsia="楷体" w:cs="楷体"/>
          <w:color w:val="auto"/>
          <w:sz w:val="28"/>
          <w:szCs w:val="28"/>
          <w:highlight w:val="none"/>
          <w:lang w:val="en-US" w:eastAsia="zh-CN"/>
        </w:rPr>
        <w:t>4、经营装修必须符合消防安全许可要求，严格执行相关法律、法规及有关行政主管部门</w:t>
      </w:r>
      <w:r>
        <w:rPr>
          <w:rFonts w:hint="eastAsia" w:ascii="楷体" w:hAnsi="楷体" w:eastAsia="楷体" w:cs="楷体"/>
          <w:color w:val="auto"/>
          <w:kern w:val="0"/>
          <w:sz w:val="28"/>
          <w:szCs w:val="28"/>
          <w:highlight w:val="none"/>
          <w:lang w:val="en-US" w:eastAsia="zh-CN" w:bidi="ar"/>
        </w:rPr>
        <w:t>要求</w:t>
      </w:r>
      <w:r>
        <w:rPr>
          <w:rFonts w:hint="eastAsia" w:ascii="楷体" w:hAnsi="楷体" w:eastAsia="楷体" w:cs="楷体"/>
          <w:color w:val="auto"/>
          <w:sz w:val="28"/>
          <w:szCs w:val="28"/>
          <w:highlight w:val="none"/>
          <w:lang w:val="en-US" w:eastAsia="zh-CN"/>
        </w:rPr>
        <w:t>。</w:t>
      </w:r>
    </w:p>
    <w:p w14:paraId="4B7C41D8">
      <w:pPr>
        <w:ind w:firstLine="560" w:firstLineChars="200"/>
        <w:rPr>
          <w:rFonts w:hint="eastAsia" w:ascii="楷体" w:hAnsi="楷体" w:eastAsia="楷体" w:cs="楷体"/>
          <w:color w:val="auto"/>
          <w:sz w:val="28"/>
          <w:szCs w:val="28"/>
          <w:highlight w:val="none"/>
          <w:lang w:val="en-US" w:eastAsia="zh-CN"/>
        </w:rPr>
      </w:pPr>
      <w:r>
        <w:rPr>
          <w:rFonts w:hint="eastAsia" w:ascii="楷体" w:hAnsi="楷体" w:eastAsia="楷体" w:cs="楷体"/>
          <w:color w:val="auto"/>
          <w:sz w:val="28"/>
          <w:szCs w:val="28"/>
          <w:highlight w:val="none"/>
          <w:lang w:val="en-US" w:eastAsia="zh-CN"/>
        </w:rPr>
        <w:t>5、乙方应根据管理区域用途性质和场地面积大小，配足相应的灭火器材，且禁止在消防箱和配电箱周围堆放一切物品，禁止阻碍消防及逃生通道。</w:t>
      </w:r>
    </w:p>
    <w:p w14:paraId="75973456">
      <w:pPr>
        <w:ind w:firstLine="560" w:firstLineChars="200"/>
        <w:rPr>
          <w:rFonts w:hint="eastAsia" w:ascii="楷体" w:hAnsi="楷体" w:eastAsia="楷体" w:cs="楷体"/>
          <w:color w:val="auto"/>
          <w:sz w:val="28"/>
          <w:szCs w:val="28"/>
          <w:highlight w:val="none"/>
          <w:lang w:val="en-US" w:eastAsia="zh-CN"/>
        </w:rPr>
      </w:pPr>
      <w:r>
        <w:rPr>
          <w:rFonts w:hint="eastAsia" w:ascii="楷体" w:hAnsi="楷体" w:eastAsia="楷体" w:cs="楷体"/>
          <w:color w:val="auto"/>
          <w:sz w:val="28"/>
          <w:szCs w:val="28"/>
          <w:highlight w:val="none"/>
          <w:lang w:val="en-US" w:eastAsia="zh-CN"/>
        </w:rPr>
        <w:t>6、租赁区域内设有配套厨房的，乙方应定期对厨房烟道、抽油烟机、燃气等设施设备按照消防要求进行清洗、保养，并留存清洗、保养内容记录5年备查，防止烟道及抽油烟机油污积垢过多、燃气厨具老化等引起火灾；在厨房等有明火场所配足灭火毯等灭火器材。</w:t>
      </w:r>
    </w:p>
    <w:p w14:paraId="08EC2DAA">
      <w:pPr>
        <w:ind w:firstLine="560" w:firstLineChars="200"/>
        <w:rPr>
          <w:rFonts w:hint="eastAsia" w:ascii="楷体" w:hAnsi="楷体" w:eastAsia="楷体" w:cs="楷体"/>
          <w:color w:val="auto"/>
          <w:sz w:val="28"/>
          <w:szCs w:val="28"/>
          <w:highlight w:val="none"/>
          <w:lang w:val="en-US" w:eastAsia="zh-CN"/>
        </w:rPr>
      </w:pPr>
      <w:r>
        <w:rPr>
          <w:rFonts w:hint="eastAsia" w:ascii="楷体" w:hAnsi="楷体" w:eastAsia="楷体" w:cs="楷体"/>
          <w:color w:val="auto"/>
          <w:sz w:val="28"/>
          <w:szCs w:val="28"/>
          <w:highlight w:val="none"/>
          <w:lang w:val="en-US" w:eastAsia="zh-CN"/>
        </w:rPr>
        <w:t>7、乙方应定期、不定期按国家消防规范要求进行消防安全自查自纠，自查内容如下：</w:t>
      </w:r>
    </w:p>
    <w:p w14:paraId="15F98869">
      <w:pPr>
        <w:ind w:firstLine="560" w:firstLineChars="200"/>
        <w:rPr>
          <w:rFonts w:hint="eastAsia" w:ascii="楷体" w:hAnsi="楷体" w:eastAsia="楷体" w:cs="楷体"/>
          <w:color w:val="auto"/>
          <w:sz w:val="28"/>
          <w:szCs w:val="28"/>
          <w:highlight w:val="none"/>
          <w:lang w:val="en-US" w:eastAsia="zh-CN"/>
        </w:rPr>
      </w:pPr>
      <w:r>
        <w:rPr>
          <w:rFonts w:hint="eastAsia" w:ascii="楷体" w:hAnsi="楷体" w:eastAsia="楷体" w:cs="楷体"/>
          <w:color w:val="auto"/>
          <w:sz w:val="28"/>
          <w:szCs w:val="28"/>
          <w:highlight w:val="none"/>
          <w:lang w:val="en-US" w:eastAsia="zh-CN"/>
        </w:rPr>
        <w:t>（1）火灾隐患的整改情况以及防范措施的落实情况；</w:t>
      </w:r>
    </w:p>
    <w:p w14:paraId="51B89E22">
      <w:pPr>
        <w:ind w:firstLine="560" w:firstLineChars="200"/>
        <w:rPr>
          <w:rFonts w:hint="eastAsia" w:ascii="楷体" w:hAnsi="楷体" w:eastAsia="楷体" w:cs="楷体"/>
          <w:color w:val="auto"/>
          <w:sz w:val="28"/>
          <w:szCs w:val="28"/>
          <w:highlight w:val="none"/>
          <w:lang w:val="en-US" w:eastAsia="zh-CN"/>
        </w:rPr>
      </w:pPr>
      <w:r>
        <w:rPr>
          <w:rFonts w:hint="eastAsia" w:ascii="楷体" w:hAnsi="楷体" w:eastAsia="楷体" w:cs="楷体"/>
          <w:color w:val="auto"/>
          <w:sz w:val="28"/>
          <w:szCs w:val="28"/>
          <w:highlight w:val="none"/>
          <w:lang w:val="en-US" w:eastAsia="zh-CN"/>
        </w:rPr>
        <w:t>（2）安全疏散通道、疏散安全出口指示标志是否明显，应急照明工作情况是否正常；</w:t>
      </w:r>
    </w:p>
    <w:p w14:paraId="3FA3F851">
      <w:pPr>
        <w:ind w:firstLine="560" w:firstLineChars="200"/>
        <w:rPr>
          <w:rFonts w:hint="eastAsia" w:ascii="楷体" w:hAnsi="楷体" w:eastAsia="楷体" w:cs="楷体"/>
          <w:color w:val="auto"/>
          <w:sz w:val="28"/>
          <w:szCs w:val="28"/>
          <w:highlight w:val="none"/>
          <w:lang w:val="en-US" w:eastAsia="zh-CN"/>
        </w:rPr>
      </w:pPr>
      <w:r>
        <w:rPr>
          <w:rFonts w:hint="eastAsia" w:ascii="楷体" w:hAnsi="楷体" w:eastAsia="楷体" w:cs="楷体"/>
          <w:color w:val="auto"/>
          <w:sz w:val="28"/>
          <w:szCs w:val="28"/>
          <w:highlight w:val="none"/>
          <w:lang w:val="en-US" w:eastAsia="zh-CN"/>
        </w:rPr>
        <w:t>（3）租赁区域内严禁堆放易燃、易爆、有毒等物品；</w:t>
      </w:r>
    </w:p>
    <w:p w14:paraId="4823094C">
      <w:pPr>
        <w:ind w:firstLine="560" w:firstLineChars="200"/>
        <w:rPr>
          <w:rFonts w:hint="eastAsia" w:ascii="楷体" w:hAnsi="楷体" w:eastAsia="楷体" w:cs="楷体"/>
          <w:color w:val="auto"/>
          <w:sz w:val="28"/>
          <w:szCs w:val="28"/>
          <w:highlight w:val="none"/>
          <w:lang w:val="en-US" w:eastAsia="zh-CN"/>
        </w:rPr>
      </w:pPr>
      <w:r>
        <w:rPr>
          <w:rFonts w:hint="eastAsia" w:ascii="楷体" w:hAnsi="楷体" w:eastAsia="楷体" w:cs="楷体"/>
          <w:color w:val="auto"/>
          <w:sz w:val="28"/>
          <w:szCs w:val="28"/>
          <w:highlight w:val="none"/>
          <w:lang w:val="en-US" w:eastAsia="zh-CN"/>
        </w:rPr>
        <w:t>（4）各类消防设施设备是否完好，符合正常运行；是否存在占用消防设施设备以及影响其使用的违法、违规行为；</w:t>
      </w:r>
    </w:p>
    <w:p w14:paraId="15952558">
      <w:pPr>
        <w:ind w:firstLine="560" w:firstLineChars="200"/>
        <w:rPr>
          <w:rFonts w:hint="eastAsia" w:ascii="楷体" w:hAnsi="楷体" w:eastAsia="楷体" w:cs="楷体"/>
          <w:color w:val="auto"/>
          <w:sz w:val="28"/>
          <w:szCs w:val="28"/>
          <w:highlight w:val="none"/>
          <w:lang w:val="en-US" w:eastAsia="zh-CN"/>
        </w:rPr>
      </w:pPr>
      <w:r>
        <w:rPr>
          <w:rFonts w:hint="eastAsia" w:ascii="楷体" w:hAnsi="楷体" w:eastAsia="楷体" w:cs="楷体"/>
          <w:color w:val="auto"/>
          <w:sz w:val="28"/>
          <w:szCs w:val="28"/>
          <w:highlight w:val="none"/>
          <w:lang w:val="en-US" w:eastAsia="zh-CN"/>
        </w:rPr>
        <w:t>（5）安全通道是否有堆积物，影响应急逃生要求；</w:t>
      </w:r>
    </w:p>
    <w:p w14:paraId="12318089">
      <w:pPr>
        <w:ind w:firstLine="560" w:firstLineChars="200"/>
        <w:rPr>
          <w:rFonts w:hint="eastAsia" w:ascii="楷体" w:hAnsi="楷体" w:eastAsia="楷体" w:cs="楷体"/>
          <w:color w:val="auto"/>
          <w:sz w:val="28"/>
          <w:szCs w:val="28"/>
          <w:highlight w:val="none"/>
          <w:lang w:val="en-US" w:eastAsia="zh-CN"/>
        </w:rPr>
      </w:pPr>
      <w:r>
        <w:rPr>
          <w:rFonts w:hint="eastAsia" w:ascii="楷体" w:hAnsi="楷体" w:eastAsia="楷体" w:cs="楷体"/>
          <w:color w:val="auto"/>
          <w:sz w:val="28"/>
          <w:szCs w:val="28"/>
          <w:highlight w:val="none"/>
          <w:lang w:val="en-US" w:eastAsia="zh-CN"/>
        </w:rPr>
        <w:t>（6）规范用电，杜绝私拉、私接、扩容等不法、违规行为；</w:t>
      </w:r>
    </w:p>
    <w:p w14:paraId="2F2FCA54">
      <w:pPr>
        <w:ind w:firstLine="560" w:firstLineChars="200"/>
        <w:rPr>
          <w:rFonts w:hint="eastAsia" w:ascii="楷体" w:hAnsi="楷体" w:eastAsia="楷体" w:cs="楷体"/>
          <w:color w:val="auto"/>
          <w:sz w:val="28"/>
          <w:szCs w:val="28"/>
          <w:highlight w:val="none"/>
          <w:lang w:val="en-US" w:eastAsia="zh-CN"/>
        </w:rPr>
      </w:pPr>
      <w:r>
        <w:rPr>
          <w:rFonts w:hint="eastAsia" w:ascii="楷体" w:hAnsi="楷体" w:eastAsia="楷体" w:cs="楷体"/>
          <w:color w:val="auto"/>
          <w:sz w:val="28"/>
          <w:szCs w:val="28"/>
          <w:highlight w:val="none"/>
          <w:lang w:val="en-US" w:eastAsia="zh-CN"/>
        </w:rPr>
        <w:t>（7）是否按要求开展消防知识学习培训、应急演练；</w:t>
      </w:r>
    </w:p>
    <w:p w14:paraId="41516721">
      <w:pPr>
        <w:ind w:firstLine="560" w:firstLineChars="200"/>
        <w:rPr>
          <w:rFonts w:hint="eastAsia" w:ascii="楷体" w:hAnsi="楷体" w:eastAsia="楷体" w:cs="楷体"/>
          <w:color w:val="auto"/>
          <w:sz w:val="28"/>
          <w:szCs w:val="28"/>
          <w:highlight w:val="none"/>
          <w:lang w:val="en-US" w:eastAsia="zh-CN"/>
        </w:rPr>
      </w:pPr>
      <w:r>
        <w:rPr>
          <w:rFonts w:hint="eastAsia" w:ascii="楷体" w:hAnsi="楷体" w:eastAsia="楷体" w:cs="楷体"/>
          <w:color w:val="auto"/>
          <w:sz w:val="28"/>
          <w:szCs w:val="28"/>
          <w:highlight w:val="none"/>
          <w:lang w:val="en-US" w:eastAsia="zh-CN"/>
        </w:rPr>
        <w:t>（8）应持证上岗的岗位人员是否都按要求持证上岗；</w:t>
      </w:r>
    </w:p>
    <w:p w14:paraId="3F47FAFD">
      <w:pPr>
        <w:ind w:firstLine="560" w:firstLineChars="200"/>
        <w:rPr>
          <w:rFonts w:hint="eastAsia" w:ascii="楷体" w:hAnsi="楷体" w:eastAsia="楷体" w:cs="楷体"/>
          <w:color w:val="auto"/>
          <w:sz w:val="28"/>
          <w:szCs w:val="28"/>
          <w:highlight w:val="none"/>
          <w:lang w:val="en-US" w:eastAsia="zh-CN"/>
        </w:rPr>
      </w:pPr>
      <w:r>
        <w:rPr>
          <w:rFonts w:hint="eastAsia" w:ascii="楷体" w:hAnsi="楷体" w:eastAsia="楷体" w:cs="楷体"/>
          <w:color w:val="auto"/>
          <w:sz w:val="28"/>
          <w:szCs w:val="28"/>
          <w:highlight w:val="none"/>
          <w:lang w:val="en-US" w:eastAsia="zh-CN"/>
        </w:rPr>
        <w:t>（9）其他法律、法规、规章等规范性文件要求自查的内容。</w:t>
      </w:r>
    </w:p>
    <w:p w14:paraId="2E349100">
      <w:pPr>
        <w:ind w:firstLine="560" w:firstLineChars="200"/>
        <w:rPr>
          <w:rFonts w:hint="eastAsia" w:ascii="楷体" w:hAnsi="楷体" w:eastAsia="楷体" w:cs="楷体"/>
          <w:color w:val="auto"/>
          <w:sz w:val="28"/>
          <w:szCs w:val="28"/>
          <w:highlight w:val="none"/>
          <w:lang w:val="en-US" w:eastAsia="zh-CN"/>
        </w:rPr>
      </w:pPr>
      <w:r>
        <w:rPr>
          <w:rFonts w:hint="eastAsia" w:ascii="楷体" w:hAnsi="楷体" w:eastAsia="楷体" w:cs="楷体"/>
          <w:color w:val="auto"/>
          <w:sz w:val="28"/>
          <w:szCs w:val="28"/>
          <w:highlight w:val="none"/>
          <w:lang w:val="en-US" w:eastAsia="zh-CN"/>
        </w:rPr>
        <w:t>（三）防汛责任</w:t>
      </w:r>
    </w:p>
    <w:p w14:paraId="6D789EB9">
      <w:pPr>
        <w:ind w:firstLine="560" w:firstLineChars="200"/>
        <w:rPr>
          <w:rFonts w:hint="eastAsia" w:ascii="楷体" w:hAnsi="楷体" w:eastAsia="楷体" w:cs="楷体"/>
          <w:color w:val="auto"/>
          <w:sz w:val="28"/>
          <w:szCs w:val="28"/>
          <w:highlight w:val="none"/>
          <w:lang w:val="en-US" w:eastAsia="zh-CN"/>
        </w:rPr>
      </w:pPr>
      <w:r>
        <w:rPr>
          <w:rFonts w:hint="eastAsia" w:ascii="楷体" w:hAnsi="楷体" w:eastAsia="楷体" w:cs="楷体"/>
          <w:color w:val="auto"/>
          <w:sz w:val="28"/>
          <w:szCs w:val="28"/>
          <w:highlight w:val="none"/>
          <w:lang w:val="en-US" w:eastAsia="zh-CN"/>
        </w:rPr>
        <w:t>1、承租区域内定期清理排水系统，确保相关系统完好，排水畅通。</w:t>
      </w:r>
    </w:p>
    <w:p w14:paraId="1345DF6F">
      <w:pPr>
        <w:ind w:firstLine="560" w:firstLineChars="200"/>
        <w:rPr>
          <w:rFonts w:hint="eastAsia" w:ascii="楷体" w:hAnsi="楷体" w:eastAsia="楷体" w:cs="楷体"/>
          <w:color w:val="auto"/>
          <w:sz w:val="28"/>
          <w:szCs w:val="28"/>
          <w:highlight w:val="none"/>
          <w:lang w:val="en-US" w:eastAsia="zh-CN"/>
        </w:rPr>
      </w:pPr>
      <w:r>
        <w:rPr>
          <w:rFonts w:hint="eastAsia" w:ascii="楷体" w:hAnsi="楷体" w:eastAsia="楷体" w:cs="楷体"/>
          <w:color w:val="auto"/>
          <w:sz w:val="28"/>
          <w:szCs w:val="28"/>
          <w:highlight w:val="none"/>
          <w:lang w:val="en-US" w:eastAsia="zh-CN"/>
        </w:rPr>
        <w:t>2、储备相应应急物资，汛情期间确保自身人员安全情况下，利用储备防汛物资做好自身区域防汛工作。</w:t>
      </w:r>
    </w:p>
    <w:p w14:paraId="337122E8">
      <w:pPr>
        <w:ind w:firstLine="560" w:firstLineChars="200"/>
        <w:rPr>
          <w:rFonts w:hint="eastAsia" w:ascii="楷体" w:hAnsi="楷体" w:eastAsia="楷体" w:cs="楷体"/>
          <w:color w:val="auto"/>
          <w:sz w:val="28"/>
          <w:szCs w:val="28"/>
          <w:highlight w:val="none"/>
          <w:lang w:val="en-US" w:eastAsia="zh-CN"/>
        </w:rPr>
      </w:pPr>
      <w:r>
        <w:rPr>
          <w:rFonts w:hint="eastAsia" w:ascii="楷体" w:hAnsi="楷体" w:eastAsia="楷体" w:cs="楷体"/>
          <w:color w:val="auto"/>
          <w:sz w:val="28"/>
          <w:szCs w:val="28"/>
          <w:highlight w:val="none"/>
          <w:lang w:val="en-US" w:eastAsia="zh-CN"/>
        </w:rPr>
        <w:t>（四）应急责任</w:t>
      </w:r>
    </w:p>
    <w:p w14:paraId="5872B2F5">
      <w:pPr>
        <w:ind w:firstLine="560" w:firstLineChars="200"/>
        <w:rPr>
          <w:rFonts w:hint="eastAsia" w:ascii="楷体" w:hAnsi="楷体" w:eastAsia="楷体" w:cs="楷体"/>
          <w:color w:val="auto"/>
          <w:sz w:val="28"/>
          <w:szCs w:val="28"/>
          <w:highlight w:val="none"/>
          <w:lang w:val="en-US" w:eastAsia="zh-CN"/>
        </w:rPr>
      </w:pPr>
      <w:r>
        <w:rPr>
          <w:rFonts w:hint="eastAsia" w:ascii="楷体" w:hAnsi="楷体" w:eastAsia="楷体" w:cs="楷体"/>
          <w:color w:val="auto"/>
          <w:sz w:val="28"/>
          <w:szCs w:val="28"/>
          <w:highlight w:val="none"/>
          <w:lang w:val="en-US" w:eastAsia="zh-CN"/>
        </w:rPr>
        <w:t>1、出现意外险情，首先保障人员生命安全，利用现场保障资源做好应急工作，及时报警救援，同时向甲方通报有关险情及现场情况。</w:t>
      </w:r>
    </w:p>
    <w:p w14:paraId="25EEFB5A">
      <w:pPr>
        <w:ind w:firstLine="560" w:firstLineChars="200"/>
        <w:rPr>
          <w:rFonts w:hint="eastAsia" w:ascii="楷体" w:hAnsi="楷体" w:eastAsia="楷体" w:cs="楷体"/>
          <w:color w:val="auto"/>
          <w:sz w:val="28"/>
          <w:szCs w:val="28"/>
          <w:highlight w:val="none"/>
          <w:lang w:val="en-US" w:eastAsia="zh-CN"/>
        </w:rPr>
      </w:pPr>
      <w:r>
        <w:rPr>
          <w:rFonts w:hint="eastAsia" w:ascii="楷体" w:hAnsi="楷体" w:eastAsia="楷体" w:cs="楷体"/>
          <w:color w:val="auto"/>
          <w:sz w:val="28"/>
          <w:szCs w:val="28"/>
          <w:highlight w:val="none"/>
          <w:lang w:val="en-US" w:eastAsia="zh-CN"/>
        </w:rPr>
        <w:t>2、无条件配合甲方应急抢险任务。</w:t>
      </w:r>
    </w:p>
    <w:p w14:paraId="20C8C78C">
      <w:pPr>
        <w:ind w:firstLine="560" w:firstLineChars="200"/>
        <w:rPr>
          <w:rFonts w:hint="eastAsia" w:ascii="楷体" w:hAnsi="楷体" w:eastAsia="楷体" w:cs="楷体"/>
          <w:color w:val="auto"/>
          <w:sz w:val="28"/>
          <w:szCs w:val="28"/>
          <w:highlight w:val="none"/>
          <w:lang w:val="en-US" w:eastAsia="zh-CN"/>
        </w:rPr>
      </w:pPr>
      <w:r>
        <w:rPr>
          <w:rFonts w:hint="eastAsia" w:ascii="楷体" w:hAnsi="楷体" w:eastAsia="楷体" w:cs="楷体"/>
          <w:color w:val="auto"/>
          <w:sz w:val="28"/>
          <w:szCs w:val="28"/>
          <w:highlight w:val="none"/>
          <w:lang w:val="en-US" w:eastAsia="zh-CN"/>
        </w:rPr>
        <w:t>（五）违约责任</w:t>
      </w:r>
    </w:p>
    <w:p w14:paraId="2DC714DC">
      <w:pPr>
        <w:ind w:firstLine="560" w:firstLineChars="200"/>
        <w:rPr>
          <w:rFonts w:hint="eastAsia" w:ascii="楷体" w:hAnsi="楷体" w:eastAsia="楷体" w:cs="楷体"/>
          <w:color w:val="auto"/>
          <w:kern w:val="0"/>
          <w:sz w:val="28"/>
          <w:szCs w:val="28"/>
          <w:highlight w:val="none"/>
          <w:lang w:val="en-US" w:eastAsia="zh-CN" w:bidi="ar"/>
        </w:rPr>
      </w:pPr>
      <w:r>
        <w:rPr>
          <w:rFonts w:hint="eastAsia" w:ascii="楷体" w:hAnsi="楷体" w:eastAsia="楷体" w:cs="楷体"/>
          <w:color w:val="auto"/>
          <w:kern w:val="0"/>
          <w:sz w:val="28"/>
          <w:szCs w:val="28"/>
          <w:highlight w:val="none"/>
          <w:lang w:val="en-US" w:eastAsia="zh-CN" w:bidi="ar"/>
        </w:rPr>
        <w:t>1、承租区域内发生自然灾害事件、事故灾难事件、公共卫生事件和社会安全事件等突发事件的</w:t>
      </w:r>
      <w:r>
        <w:rPr>
          <w:rFonts w:hint="eastAsia" w:ascii="楷体" w:hAnsi="楷体" w:eastAsia="楷体" w:cs="楷体"/>
          <w:color w:val="auto"/>
          <w:kern w:val="0"/>
          <w:sz w:val="28"/>
          <w:szCs w:val="28"/>
          <w:highlight w:val="none"/>
          <w:lang w:bidi="ar"/>
        </w:rPr>
        <w:t>，</w:t>
      </w:r>
      <w:r>
        <w:rPr>
          <w:rFonts w:hint="eastAsia" w:ascii="楷体" w:hAnsi="楷体" w:eastAsia="楷体" w:cs="楷体"/>
          <w:color w:val="auto"/>
          <w:kern w:val="0"/>
          <w:sz w:val="28"/>
          <w:szCs w:val="28"/>
          <w:highlight w:val="none"/>
          <w:lang w:val="en-US" w:eastAsia="zh-CN" w:bidi="ar"/>
        </w:rPr>
        <w:t>乙方</w:t>
      </w:r>
      <w:r>
        <w:rPr>
          <w:rFonts w:hint="eastAsia" w:ascii="楷体" w:hAnsi="楷体" w:eastAsia="楷体" w:cs="楷体"/>
          <w:color w:val="auto"/>
          <w:kern w:val="0"/>
          <w:sz w:val="28"/>
          <w:szCs w:val="28"/>
          <w:highlight w:val="none"/>
          <w:lang w:bidi="ar"/>
        </w:rPr>
        <w:t>应</w:t>
      </w:r>
      <w:r>
        <w:rPr>
          <w:rFonts w:hint="eastAsia" w:ascii="楷体" w:hAnsi="楷体" w:eastAsia="楷体" w:cs="楷体"/>
          <w:color w:val="auto"/>
          <w:kern w:val="0"/>
          <w:sz w:val="28"/>
          <w:szCs w:val="28"/>
          <w:highlight w:val="none"/>
          <w:lang w:eastAsia="zh-CN" w:bidi="ar"/>
        </w:rPr>
        <w:t>在</w:t>
      </w:r>
      <w:r>
        <w:rPr>
          <w:rFonts w:hint="eastAsia" w:ascii="楷体" w:hAnsi="楷体" w:eastAsia="楷体" w:cs="楷体"/>
          <w:color w:val="auto"/>
          <w:kern w:val="0"/>
          <w:sz w:val="28"/>
          <w:szCs w:val="28"/>
          <w:highlight w:val="none"/>
          <w:lang w:val="en-US" w:eastAsia="zh-CN" w:bidi="ar"/>
        </w:rPr>
        <w:t>接到信息后5分钟内</w:t>
      </w:r>
      <w:r>
        <w:rPr>
          <w:rFonts w:hint="eastAsia" w:ascii="楷体" w:hAnsi="楷体" w:eastAsia="楷体" w:cs="楷体"/>
          <w:color w:val="auto"/>
          <w:kern w:val="0"/>
          <w:sz w:val="28"/>
          <w:szCs w:val="28"/>
          <w:highlight w:val="none"/>
          <w:lang w:bidi="ar"/>
        </w:rPr>
        <w:t>通知甲方</w:t>
      </w:r>
      <w:r>
        <w:rPr>
          <w:rFonts w:hint="eastAsia" w:ascii="楷体" w:hAnsi="楷体" w:eastAsia="楷体" w:cs="楷体"/>
          <w:color w:val="auto"/>
          <w:kern w:val="0"/>
          <w:sz w:val="28"/>
          <w:szCs w:val="28"/>
          <w:highlight w:val="none"/>
          <w:lang w:val="en-US" w:eastAsia="zh-CN" w:bidi="ar"/>
        </w:rPr>
        <w:t>。乙方及时、完整</w:t>
      </w:r>
      <w:r>
        <w:rPr>
          <w:rFonts w:hint="eastAsia" w:ascii="楷体" w:hAnsi="楷体" w:eastAsia="楷体" w:cs="楷体"/>
          <w:color w:val="auto"/>
          <w:kern w:val="0"/>
          <w:sz w:val="28"/>
          <w:szCs w:val="28"/>
          <w:highlight w:val="none"/>
          <w:lang w:bidi="ar"/>
        </w:rPr>
        <w:t>通知甲方</w:t>
      </w:r>
      <w:r>
        <w:rPr>
          <w:rFonts w:hint="eastAsia" w:ascii="楷体" w:hAnsi="楷体" w:eastAsia="楷体" w:cs="楷体"/>
          <w:color w:val="auto"/>
          <w:kern w:val="0"/>
          <w:sz w:val="28"/>
          <w:szCs w:val="28"/>
          <w:highlight w:val="none"/>
          <w:lang w:eastAsia="zh-CN" w:bidi="ar"/>
        </w:rPr>
        <w:t>的，</w:t>
      </w:r>
      <w:r>
        <w:rPr>
          <w:rFonts w:hint="eastAsia" w:ascii="楷体" w:hAnsi="楷体" w:eastAsia="楷体" w:cs="楷体"/>
          <w:color w:val="auto"/>
          <w:kern w:val="0"/>
          <w:sz w:val="28"/>
          <w:szCs w:val="28"/>
          <w:highlight w:val="none"/>
          <w:lang w:val="en-US" w:eastAsia="zh-CN" w:bidi="ar"/>
        </w:rPr>
        <w:t>甲方有权根据乙方违约程度要求支付相应安全管理责任违约金（</w:t>
      </w:r>
      <w:r>
        <w:rPr>
          <w:rFonts w:hint="eastAsia" w:ascii="楷体" w:hAnsi="楷体" w:eastAsia="楷体" w:cs="楷体"/>
          <w:color w:val="auto"/>
          <w:kern w:val="0"/>
          <w:sz w:val="28"/>
          <w:szCs w:val="28"/>
          <w:highlight w:val="none"/>
          <w:lang w:bidi="ar"/>
        </w:rPr>
        <w:t>每次</w:t>
      </w:r>
      <w:r>
        <w:rPr>
          <w:rFonts w:hint="eastAsia" w:ascii="楷体" w:hAnsi="楷体" w:eastAsia="楷体" w:cs="楷体"/>
          <w:color w:val="auto"/>
          <w:kern w:val="0"/>
          <w:sz w:val="28"/>
          <w:szCs w:val="28"/>
          <w:highlight w:val="none"/>
          <w:lang w:val="en-US" w:eastAsia="zh-CN" w:bidi="ar"/>
        </w:rPr>
        <w:t>伍仟元</w:t>
      </w:r>
      <w:r>
        <w:rPr>
          <w:rFonts w:hint="eastAsia" w:ascii="楷体" w:hAnsi="楷体" w:eastAsia="楷体" w:cs="楷体"/>
          <w:color w:val="auto"/>
          <w:kern w:val="0"/>
          <w:sz w:val="28"/>
          <w:szCs w:val="28"/>
          <w:highlight w:val="none"/>
          <w:lang w:bidi="ar"/>
        </w:rPr>
        <w:t>至</w:t>
      </w:r>
      <w:r>
        <w:rPr>
          <w:rFonts w:hint="eastAsia" w:ascii="楷体" w:hAnsi="楷体" w:eastAsia="楷体" w:cs="楷体"/>
          <w:color w:val="auto"/>
          <w:kern w:val="0"/>
          <w:sz w:val="28"/>
          <w:szCs w:val="28"/>
          <w:highlight w:val="none"/>
          <w:lang w:val="en-US" w:eastAsia="zh-CN" w:bidi="ar"/>
        </w:rPr>
        <w:t>陆万元）；</w:t>
      </w:r>
      <w:r>
        <w:rPr>
          <w:rFonts w:hint="eastAsia" w:ascii="楷体" w:hAnsi="楷体" w:eastAsia="楷体" w:cs="楷体"/>
          <w:color w:val="auto"/>
          <w:kern w:val="0"/>
          <w:sz w:val="28"/>
          <w:szCs w:val="28"/>
          <w:highlight w:val="none"/>
          <w:lang w:bidi="ar"/>
        </w:rPr>
        <w:t>如</w:t>
      </w:r>
      <w:r>
        <w:rPr>
          <w:rFonts w:hint="eastAsia" w:ascii="楷体" w:hAnsi="楷体" w:eastAsia="楷体" w:cs="楷体"/>
          <w:color w:val="auto"/>
          <w:kern w:val="0"/>
          <w:sz w:val="28"/>
          <w:szCs w:val="28"/>
          <w:highlight w:val="none"/>
          <w:lang w:val="en-US" w:eastAsia="zh-CN" w:bidi="ar"/>
        </w:rPr>
        <w:t>乙方出现迟报、少报、瞒报突发事件等情况，导致事件被媒体报道，或甲方受到杭州市城市建设投资集团有限公司或政府相关部门通报、批评的，甲方</w:t>
      </w:r>
      <w:r>
        <w:rPr>
          <w:rFonts w:hint="eastAsia" w:ascii="楷体" w:hAnsi="楷体" w:eastAsia="楷体" w:cs="楷体"/>
          <w:color w:val="auto"/>
          <w:kern w:val="0"/>
          <w:sz w:val="28"/>
          <w:szCs w:val="28"/>
          <w:highlight w:val="none"/>
          <w:lang w:bidi="ar"/>
        </w:rPr>
        <w:t>有权</w:t>
      </w:r>
      <w:r>
        <w:rPr>
          <w:rFonts w:hint="eastAsia" w:ascii="楷体" w:hAnsi="楷体" w:eastAsia="楷体" w:cs="楷体"/>
          <w:color w:val="auto"/>
          <w:kern w:val="0"/>
          <w:sz w:val="28"/>
          <w:szCs w:val="28"/>
          <w:highlight w:val="none"/>
          <w:lang w:val="en-US" w:eastAsia="zh-CN" w:bidi="ar"/>
        </w:rPr>
        <w:t>要求乙</w:t>
      </w:r>
      <w:r>
        <w:rPr>
          <w:rFonts w:hint="eastAsia" w:ascii="楷体" w:hAnsi="楷体" w:eastAsia="楷体" w:cs="楷体"/>
          <w:color w:val="auto"/>
          <w:kern w:val="0"/>
          <w:sz w:val="28"/>
          <w:szCs w:val="28"/>
          <w:highlight w:val="none"/>
          <w:lang w:bidi="ar"/>
        </w:rPr>
        <w:t>方</w:t>
      </w:r>
      <w:r>
        <w:rPr>
          <w:rFonts w:hint="eastAsia" w:ascii="楷体" w:hAnsi="楷体" w:eastAsia="楷体" w:cs="楷体"/>
          <w:color w:val="auto"/>
          <w:kern w:val="0"/>
          <w:sz w:val="28"/>
          <w:szCs w:val="28"/>
          <w:highlight w:val="none"/>
          <w:lang w:val="en-US" w:eastAsia="zh-CN" w:bidi="ar"/>
        </w:rPr>
        <w:t>支付相应违约金（</w:t>
      </w:r>
      <w:r>
        <w:rPr>
          <w:rFonts w:hint="eastAsia" w:ascii="楷体" w:hAnsi="楷体" w:eastAsia="楷体" w:cs="楷体"/>
          <w:color w:val="auto"/>
          <w:kern w:val="0"/>
          <w:sz w:val="28"/>
          <w:szCs w:val="28"/>
          <w:highlight w:val="none"/>
          <w:lang w:bidi="ar"/>
        </w:rPr>
        <w:t>每次</w:t>
      </w:r>
      <w:r>
        <w:rPr>
          <w:rFonts w:hint="eastAsia" w:ascii="楷体" w:hAnsi="楷体" w:eastAsia="楷体" w:cs="楷体"/>
          <w:color w:val="auto"/>
          <w:kern w:val="0"/>
          <w:sz w:val="28"/>
          <w:szCs w:val="28"/>
          <w:highlight w:val="none"/>
          <w:lang w:val="en-US" w:eastAsia="zh-CN" w:bidi="ar"/>
        </w:rPr>
        <w:t>壹万元</w:t>
      </w:r>
      <w:r>
        <w:rPr>
          <w:rFonts w:hint="eastAsia" w:ascii="楷体" w:hAnsi="楷体" w:eastAsia="楷体" w:cs="楷体"/>
          <w:color w:val="auto"/>
          <w:kern w:val="0"/>
          <w:sz w:val="28"/>
          <w:szCs w:val="28"/>
          <w:highlight w:val="none"/>
          <w:lang w:bidi="ar"/>
        </w:rPr>
        <w:t>至</w:t>
      </w:r>
      <w:r>
        <w:rPr>
          <w:rFonts w:hint="eastAsia" w:ascii="楷体" w:hAnsi="楷体" w:eastAsia="楷体" w:cs="楷体"/>
          <w:color w:val="auto"/>
          <w:kern w:val="0"/>
          <w:sz w:val="28"/>
          <w:szCs w:val="28"/>
          <w:highlight w:val="none"/>
          <w:lang w:val="en-US" w:eastAsia="zh-CN" w:bidi="ar"/>
        </w:rPr>
        <w:t>壹拾万元）。</w:t>
      </w:r>
    </w:p>
    <w:p w14:paraId="7B18CB6D">
      <w:pPr>
        <w:ind w:firstLine="560" w:firstLineChars="200"/>
        <w:rPr>
          <w:rFonts w:hint="eastAsia" w:ascii="楷体" w:hAnsi="楷体" w:eastAsia="楷体" w:cs="楷体"/>
          <w:color w:val="auto"/>
          <w:sz w:val="28"/>
          <w:szCs w:val="28"/>
          <w:highlight w:val="none"/>
          <w:lang w:val="en-US" w:eastAsia="zh-CN"/>
        </w:rPr>
      </w:pPr>
      <w:r>
        <w:rPr>
          <w:rFonts w:hint="eastAsia" w:ascii="楷体" w:hAnsi="楷体" w:eastAsia="楷体" w:cs="楷体"/>
          <w:color w:val="auto"/>
          <w:kern w:val="0"/>
          <w:sz w:val="28"/>
          <w:szCs w:val="28"/>
          <w:highlight w:val="none"/>
          <w:lang w:val="en-US" w:eastAsia="zh-CN" w:bidi="ar"/>
        </w:rPr>
        <w:t>乙方应在收到甲方书面通知后5日内足额支付违约金，否则甲方有权自行从履约</w:t>
      </w:r>
      <w:r>
        <w:rPr>
          <w:rFonts w:hint="eastAsia" w:ascii="楷体" w:hAnsi="楷体" w:eastAsia="楷体" w:cs="楷体"/>
          <w:color w:val="auto"/>
          <w:kern w:val="0"/>
          <w:sz w:val="28"/>
          <w:szCs w:val="28"/>
          <w:highlight w:val="none"/>
          <w:lang w:bidi="ar"/>
        </w:rPr>
        <w:t>保证金中扣除</w:t>
      </w:r>
      <w:r>
        <w:rPr>
          <w:rFonts w:hint="eastAsia" w:ascii="楷体" w:hAnsi="楷体" w:eastAsia="楷体" w:cs="楷体"/>
          <w:color w:val="auto"/>
          <w:kern w:val="0"/>
          <w:sz w:val="28"/>
          <w:szCs w:val="28"/>
          <w:highlight w:val="none"/>
          <w:lang w:eastAsia="zh-CN" w:bidi="ar"/>
        </w:rPr>
        <w:t>，</w:t>
      </w:r>
      <w:r>
        <w:rPr>
          <w:rFonts w:hint="eastAsia" w:ascii="楷体" w:hAnsi="楷体" w:eastAsia="楷体" w:cs="楷体"/>
          <w:color w:val="auto"/>
          <w:kern w:val="0"/>
          <w:sz w:val="28"/>
          <w:szCs w:val="28"/>
          <w:highlight w:val="none"/>
          <w:lang w:val="en-US" w:eastAsia="zh-CN" w:bidi="ar"/>
        </w:rPr>
        <w:t>不足部分乙方需另行支付，同时乙方需及时向甲方补足履约保证金</w:t>
      </w:r>
      <w:r>
        <w:rPr>
          <w:rFonts w:hint="eastAsia" w:ascii="楷体" w:hAnsi="楷体" w:eastAsia="楷体" w:cs="楷体"/>
          <w:color w:val="auto"/>
          <w:kern w:val="0"/>
          <w:sz w:val="28"/>
          <w:szCs w:val="28"/>
          <w:highlight w:val="none"/>
          <w:lang w:eastAsia="zh-CN" w:bidi="ar"/>
        </w:rPr>
        <w:t>。</w:t>
      </w:r>
      <w:r>
        <w:rPr>
          <w:rFonts w:hint="eastAsia" w:ascii="楷体" w:hAnsi="楷体" w:eastAsia="楷体" w:cs="楷体"/>
          <w:color w:val="auto"/>
          <w:kern w:val="0"/>
          <w:sz w:val="28"/>
          <w:szCs w:val="28"/>
          <w:highlight w:val="none"/>
          <w:lang w:val="en-US" w:eastAsia="zh-CN" w:bidi="ar"/>
        </w:rPr>
        <w:t>若乙方未及时补足，甲方有权提起维权诉讼或仲裁要求乙方支付违约金或履约保证金，同时乙方需承担甲方因维权产生的费用（包括但不限于律师费、仲裁费、诉讼费、保全费、审计费、鉴定费）。</w:t>
      </w:r>
    </w:p>
    <w:p w14:paraId="31CBCBD2">
      <w:pPr>
        <w:ind w:firstLine="560" w:firstLineChars="200"/>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lang w:val="en-US" w:eastAsia="zh-CN"/>
        </w:rPr>
        <w:t>2、甲方</w:t>
      </w:r>
      <w:r>
        <w:rPr>
          <w:rFonts w:hint="eastAsia" w:ascii="楷体" w:hAnsi="楷体" w:eastAsia="楷体" w:cs="楷体"/>
          <w:color w:val="auto"/>
          <w:sz w:val="28"/>
          <w:szCs w:val="28"/>
          <w:highlight w:val="none"/>
        </w:rPr>
        <w:t>发现</w:t>
      </w:r>
      <w:r>
        <w:rPr>
          <w:rFonts w:hint="eastAsia" w:ascii="楷体" w:hAnsi="楷体" w:eastAsia="楷体" w:cs="楷体"/>
          <w:color w:val="auto"/>
          <w:sz w:val="28"/>
          <w:szCs w:val="28"/>
          <w:highlight w:val="none"/>
          <w:lang w:val="en-US" w:eastAsia="zh-CN"/>
        </w:rPr>
        <w:t>乙方承租区域内</w:t>
      </w:r>
      <w:r>
        <w:rPr>
          <w:rFonts w:hint="eastAsia" w:ascii="楷体" w:hAnsi="楷体" w:eastAsia="楷体" w:cs="楷体"/>
          <w:color w:val="auto"/>
          <w:sz w:val="28"/>
          <w:szCs w:val="28"/>
          <w:highlight w:val="none"/>
        </w:rPr>
        <w:t>存在安全隐患的，</w:t>
      </w:r>
      <w:r>
        <w:rPr>
          <w:rFonts w:hint="eastAsia" w:ascii="楷体" w:hAnsi="楷体" w:eastAsia="楷体" w:cs="楷体"/>
          <w:color w:val="auto"/>
          <w:sz w:val="28"/>
          <w:szCs w:val="28"/>
          <w:highlight w:val="none"/>
          <w:lang w:val="en-US" w:eastAsia="zh-CN"/>
        </w:rPr>
        <w:t>乙方</w:t>
      </w:r>
      <w:r>
        <w:rPr>
          <w:rFonts w:hint="eastAsia" w:ascii="楷体" w:hAnsi="楷体" w:eastAsia="楷体" w:cs="楷体"/>
          <w:color w:val="auto"/>
          <w:sz w:val="28"/>
          <w:szCs w:val="28"/>
          <w:highlight w:val="none"/>
        </w:rPr>
        <w:t>应在甲方通知期限内完成相应</w:t>
      </w:r>
      <w:r>
        <w:rPr>
          <w:rFonts w:hint="eastAsia" w:ascii="楷体" w:hAnsi="楷体" w:eastAsia="楷体" w:cs="楷体"/>
          <w:color w:val="auto"/>
          <w:kern w:val="0"/>
          <w:sz w:val="28"/>
          <w:szCs w:val="28"/>
          <w:highlight w:val="none"/>
          <w:lang w:val="en-US" w:eastAsia="zh-CN" w:bidi="ar"/>
        </w:rPr>
        <w:t>消除隐患</w:t>
      </w:r>
      <w:r>
        <w:rPr>
          <w:rFonts w:hint="eastAsia" w:ascii="楷体" w:hAnsi="楷体" w:eastAsia="楷体" w:cs="楷体"/>
          <w:color w:val="auto"/>
          <w:sz w:val="28"/>
          <w:szCs w:val="28"/>
          <w:highlight w:val="none"/>
        </w:rPr>
        <w:t>整改工作，如限期未整改</w:t>
      </w:r>
      <w:r>
        <w:rPr>
          <w:rFonts w:hint="eastAsia" w:ascii="楷体" w:hAnsi="楷体" w:eastAsia="楷体" w:cs="楷体"/>
          <w:color w:val="auto"/>
          <w:sz w:val="28"/>
          <w:szCs w:val="28"/>
          <w:highlight w:val="none"/>
          <w:lang w:val="en-US" w:eastAsia="zh-CN"/>
        </w:rPr>
        <w:t>的</w:t>
      </w:r>
      <w:r>
        <w:rPr>
          <w:rFonts w:hint="eastAsia" w:ascii="楷体" w:hAnsi="楷体" w:eastAsia="楷体" w:cs="楷体"/>
          <w:color w:val="auto"/>
          <w:sz w:val="28"/>
          <w:szCs w:val="28"/>
          <w:highlight w:val="none"/>
        </w:rPr>
        <w:t>，甲方有权扣除</w:t>
      </w:r>
      <w:r>
        <w:rPr>
          <w:rFonts w:hint="eastAsia" w:ascii="楷体" w:hAnsi="楷体" w:eastAsia="楷体" w:cs="楷体"/>
          <w:color w:val="auto"/>
          <w:sz w:val="28"/>
          <w:szCs w:val="28"/>
          <w:highlight w:val="none"/>
          <w:lang w:val="en-US" w:eastAsia="zh-CN"/>
        </w:rPr>
        <w:t>乙</w:t>
      </w:r>
      <w:r>
        <w:rPr>
          <w:rFonts w:hint="eastAsia" w:ascii="楷体" w:hAnsi="楷体" w:eastAsia="楷体" w:cs="楷体"/>
          <w:color w:val="auto"/>
          <w:sz w:val="28"/>
          <w:szCs w:val="28"/>
          <w:highlight w:val="none"/>
        </w:rPr>
        <w:t>方违约金每次贰</w:t>
      </w:r>
      <w:r>
        <w:rPr>
          <w:rFonts w:hint="eastAsia" w:ascii="楷体" w:hAnsi="楷体" w:eastAsia="楷体" w:cs="楷体"/>
          <w:color w:val="auto"/>
          <w:sz w:val="28"/>
          <w:szCs w:val="28"/>
          <w:highlight w:val="none"/>
          <w:lang w:eastAsia="zh-CN"/>
        </w:rPr>
        <w:t>仟</w:t>
      </w:r>
      <w:r>
        <w:rPr>
          <w:rFonts w:hint="eastAsia" w:ascii="楷体" w:hAnsi="楷体" w:eastAsia="楷体" w:cs="楷体"/>
          <w:color w:val="auto"/>
          <w:sz w:val="28"/>
          <w:szCs w:val="28"/>
          <w:highlight w:val="none"/>
        </w:rPr>
        <w:t>至伍万元（在</w:t>
      </w:r>
      <w:r>
        <w:rPr>
          <w:rFonts w:hint="eastAsia" w:ascii="楷体" w:hAnsi="楷体" w:eastAsia="楷体" w:cs="楷体"/>
          <w:color w:val="auto"/>
          <w:sz w:val="28"/>
          <w:szCs w:val="28"/>
          <w:highlight w:val="none"/>
          <w:lang w:val="en-US" w:eastAsia="zh-CN"/>
        </w:rPr>
        <w:t>履约</w:t>
      </w:r>
      <w:r>
        <w:rPr>
          <w:rFonts w:hint="eastAsia" w:ascii="楷体" w:hAnsi="楷体" w:eastAsia="楷体" w:cs="楷体"/>
          <w:color w:val="auto"/>
          <w:sz w:val="28"/>
          <w:szCs w:val="28"/>
          <w:highlight w:val="none"/>
        </w:rPr>
        <w:t>保证金中扣除），且</w:t>
      </w:r>
      <w:r>
        <w:rPr>
          <w:rFonts w:hint="eastAsia" w:ascii="楷体" w:hAnsi="楷体" w:eastAsia="楷体" w:cs="楷体"/>
          <w:color w:val="auto"/>
          <w:sz w:val="28"/>
          <w:szCs w:val="28"/>
          <w:highlight w:val="none"/>
          <w:lang w:val="en-US" w:eastAsia="zh-CN"/>
        </w:rPr>
        <w:t>乙</w:t>
      </w:r>
      <w:r>
        <w:rPr>
          <w:rFonts w:hint="eastAsia" w:ascii="楷体" w:hAnsi="楷体" w:eastAsia="楷体" w:cs="楷体"/>
          <w:color w:val="auto"/>
          <w:sz w:val="28"/>
          <w:szCs w:val="28"/>
          <w:highlight w:val="none"/>
        </w:rPr>
        <w:t>方仍应继续整改；</w:t>
      </w:r>
      <w:r>
        <w:rPr>
          <w:rFonts w:hint="eastAsia" w:ascii="楷体" w:hAnsi="楷体" w:eastAsia="楷体" w:cs="楷体"/>
          <w:color w:val="auto"/>
          <w:kern w:val="0"/>
          <w:sz w:val="28"/>
          <w:szCs w:val="28"/>
          <w:highlight w:val="none"/>
          <w:lang w:val="en-US" w:eastAsia="zh-CN" w:bidi="ar"/>
        </w:rPr>
        <w:t>因乙方拖延不整改、拒不整改或</w:t>
      </w:r>
      <w:r>
        <w:rPr>
          <w:rFonts w:hint="eastAsia" w:ascii="楷体" w:hAnsi="楷体" w:eastAsia="楷体" w:cs="楷体"/>
          <w:color w:val="auto"/>
          <w:kern w:val="0"/>
          <w:sz w:val="28"/>
          <w:szCs w:val="28"/>
          <w:highlight w:val="none"/>
          <w:lang w:bidi="ar"/>
        </w:rPr>
        <w:t>同一安全隐患</w:t>
      </w:r>
      <w:r>
        <w:rPr>
          <w:rFonts w:hint="eastAsia" w:ascii="楷体" w:hAnsi="楷体" w:eastAsia="楷体" w:cs="楷体"/>
          <w:color w:val="auto"/>
          <w:kern w:val="0"/>
          <w:sz w:val="28"/>
          <w:szCs w:val="28"/>
          <w:highlight w:val="none"/>
          <w:lang w:val="en-US" w:eastAsia="zh-CN" w:bidi="ar"/>
        </w:rPr>
        <w:t>反复出现，</w:t>
      </w:r>
      <w:r>
        <w:rPr>
          <w:rFonts w:hint="eastAsia" w:ascii="楷体" w:hAnsi="楷体" w:eastAsia="楷体" w:cs="楷体"/>
          <w:color w:val="auto"/>
          <w:sz w:val="28"/>
          <w:szCs w:val="28"/>
          <w:highlight w:val="none"/>
        </w:rPr>
        <w:t>甲方书面发函、约谈2次及以上</w:t>
      </w:r>
      <w:r>
        <w:rPr>
          <w:rFonts w:hint="eastAsia" w:ascii="楷体" w:hAnsi="楷体" w:eastAsia="楷体" w:cs="楷体"/>
          <w:color w:val="auto"/>
          <w:sz w:val="28"/>
          <w:szCs w:val="28"/>
          <w:highlight w:val="none"/>
          <w:lang w:val="en-US" w:eastAsia="zh-CN"/>
        </w:rPr>
        <w:t>乙</w:t>
      </w:r>
      <w:r>
        <w:rPr>
          <w:rFonts w:hint="eastAsia" w:ascii="楷体" w:hAnsi="楷体" w:eastAsia="楷体" w:cs="楷体"/>
          <w:color w:val="auto"/>
          <w:sz w:val="28"/>
          <w:szCs w:val="28"/>
          <w:highlight w:val="none"/>
        </w:rPr>
        <w:t>方仍未整改的（发函与约谈效力等同），视为</w:t>
      </w:r>
      <w:r>
        <w:rPr>
          <w:rFonts w:hint="eastAsia" w:ascii="楷体" w:hAnsi="楷体" w:eastAsia="楷体" w:cs="楷体"/>
          <w:color w:val="auto"/>
          <w:sz w:val="28"/>
          <w:szCs w:val="28"/>
          <w:highlight w:val="none"/>
          <w:lang w:val="en-US" w:eastAsia="zh-CN"/>
        </w:rPr>
        <w:t>乙</w:t>
      </w:r>
      <w:r>
        <w:rPr>
          <w:rFonts w:hint="eastAsia" w:ascii="楷体" w:hAnsi="楷体" w:eastAsia="楷体" w:cs="楷体"/>
          <w:color w:val="auto"/>
          <w:sz w:val="28"/>
          <w:szCs w:val="28"/>
          <w:highlight w:val="none"/>
        </w:rPr>
        <w:t>方根本性违约，甲方有权解除合同，并按照</w:t>
      </w:r>
      <w:r>
        <w:rPr>
          <w:rFonts w:hint="eastAsia" w:ascii="楷体" w:hAnsi="楷体" w:eastAsia="楷体" w:cs="楷体"/>
          <w:color w:val="auto"/>
          <w:sz w:val="28"/>
          <w:szCs w:val="28"/>
          <w:highlight w:val="none"/>
          <w:lang w:val="en-US" w:eastAsia="zh-CN"/>
        </w:rPr>
        <w:t>签订的房屋</w:t>
      </w:r>
      <w:r>
        <w:rPr>
          <w:rFonts w:hint="eastAsia" w:ascii="楷体" w:hAnsi="楷体" w:eastAsia="楷体" w:cs="楷体"/>
          <w:color w:val="auto"/>
          <w:sz w:val="28"/>
          <w:szCs w:val="28"/>
          <w:highlight w:val="none"/>
        </w:rPr>
        <w:t>租赁合同</w:t>
      </w:r>
      <w:r>
        <w:rPr>
          <w:rFonts w:hint="eastAsia" w:ascii="楷体" w:hAnsi="楷体" w:eastAsia="楷体" w:cs="楷体"/>
          <w:color w:val="auto"/>
          <w:sz w:val="28"/>
          <w:szCs w:val="28"/>
          <w:highlight w:val="none"/>
          <w:lang w:val="en-US" w:eastAsia="zh-CN"/>
        </w:rPr>
        <w:t>中</w:t>
      </w:r>
      <w:r>
        <w:rPr>
          <w:rFonts w:hint="eastAsia" w:ascii="楷体" w:hAnsi="楷体" w:eastAsia="楷体" w:cs="楷体"/>
          <w:color w:val="auto"/>
          <w:sz w:val="28"/>
          <w:szCs w:val="28"/>
          <w:highlight w:val="none"/>
        </w:rPr>
        <w:t>约定</w:t>
      </w:r>
      <w:r>
        <w:rPr>
          <w:rFonts w:hint="eastAsia" w:ascii="楷体" w:hAnsi="楷体" w:eastAsia="楷体" w:cs="楷体"/>
          <w:color w:val="auto"/>
          <w:sz w:val="28"/>
          <w:szCs w:val="28"/>
          <w:highlight w:val="none"/>
          <w:lang w:val="en-US" w:eastAsia="zh-CN"/>
        </w:rPr>
        <w:t>的内容</w:t>
      </w:r>
      <w:r>
        <w:rPr>
          <w:rFonts w:hint="eastAsia" w:ascii="楷体" w:hAnsi="楷体" w:eastAsia="楷体" w:cs="楷体"/>
          <w:color w:val="auto"/>
          <w:sz w:val="28"/>
          <w:szCs w:val="28"/>
          <w:highlight w:val="none"/>
        </w:rPr>
        <w:t>追究</w:t>
      </w:r>
      <w:r>
        <w:rPr>
          <w:rFonts w:hint="eastAsia" w:ascii="楷体" w:hAnsi="楷体" w:eastAsia="楷体" w:cs="楷体"/>
          <w:color w:val="auto"/>
          <w:sz w:val="28"/>
          <w:szCs w:val="28"/>
          <w:highlight w:val="none"/>
          <w:lang w:val="en-US" w:eastAsia="zh-CN"/>
        </w:rPr>
        <w:t>乙</w:t>
      </w:r>
      <w:r>
        <w:rPr>
          <w:rFonts w:hint="eastAsia" w:ascii="楷体" w:hAnsi="楷体" w:eastAsia="楷体" w:cs="楷体"/>
          <w:color w:val="auto"/>
          <w:sz w:val="28"/>
          <w:szCs w:val="28"/>
          <w:highlight w:val="none"/>
        </w:rPr>
        <w:t>方违约责任，相关责任与费用由</w:t>
      </w:r>
      <w:r>
        <w:rPr>
          <w:rFonts w:hint="eastAsia" w:ascii="楷体" w:hAnsi="楷体" w:eastAsia="楷体" w:cs="楷体"/>
          <w:color w:val="auto"/>
          <w:sz w:val="28"/>
          <w:szCs w:val="28"/>
          <w:highlight w:val="none"/>
          <w:lang w:val="en-US" w:eastAsia="zh-CN"/>
        </w:rPr>
        <w:t>乙</w:t>
      </w:r>
      <w:r>
        <w:rPr>
          <w:rFonts w:hint="eastAsia" w:ascii="楷体" w:hAnsi="楷体" w:eastAsia="楷体" w:cs="楷体"/>
          <w:color w:val="auto"/>
          <w:sz w:val="28"/>
          <w:szCs w:val="28"/>
          <w:highlight w:val="none"/>
        </w:rPr>
        <w:t>方自行承担</w:t>
      </w:r>
      <w:r>
        <w:rPr>
          <w:rFonts w:hint="eastAsia" w:ascii="楷体" w:hAnsi="楷体" w:eastAsia="楷体" w:cs="楷体"/>
          <w:color w:val="auto"/>
          <w:sz w:val="28"/>
          <w:szCs w:val="28"/>
          <w:highlight w:val="none"/>
          <w:lang w:eastAsia="zh-CN"/>
        </w:rPr>
        <w:t>，</w:t>
      </w:r>
      <w:r>
        <w:rPr>
          <w:rFonts w:hint="eastAsia" w:ascii="楷体" w:hAnsi="楷体" w:eastAsia="楷体" w:cs="楷体"/>
          <w:color w:val="auto"/>
          <w:sz w:val="28"/>
          <w:szCs w:val="28"/>
          <w:highlight w:val="none"/>
        </w:rPr>
        <w:t>同时乙方需承担甲方因维权产生的费用（包括但不限于律师费、仲裁费、诉讼费、保全费、审计费、鉴定费</w:t>
      </w:r>
      <w:r>
        <w:rPr>
          <w:rFonts w:hint="eastAsia" w:ascii="楷体" w:hAnsi="楷体" w:eastAsia="楷体" w:cs="楷体"/>
          <w:color w:val="auto"/>
          <w:sz w:val="28"/>
          <w:szCs w:val="28"/>
          <w:highlight w:val="none"/>
          <w:lang w:val="en-US" w:eastAsia="zh-CN"/>
        </w:rPr>
        <w:t>等</w:t>
      </w:r>
      <w:r>
        <w:rPr>
          <w:rFonts w:hint="eastAsia" w:ascii="楷体" w:hAnsi="楷体" w:eastAsia="楷体" w:cs="楷体"/>
          <w:color w:val="auto"/>
          <w:sz w:val="28"/>
          <w:szCs w:val="28"/>
          <w:highlight w:val="none"/>
        </w:rPr>
        <w:t>）。</w:t>
      </w:r>
    </w:p>
    <w:p w14:paraId="0D2AE000">
      <w:pPr>
        <w:ind w:firstLine="560" w:firstLineChars="200"/>
        <w:rPr>
          <w:rFonts w:hint="eastAsia" w:ascii="楷体" w:hAnsi="楷体" w:eastAsia="楷体" w:cs="楷体"/>
          <w:color w:val="auto"/>
          <w:sz w:val="28"/>
          <w:szCs w:val="28"/>
          <w:highlight w:val="none"/>
          <w:lang w:val="en-US" w:eastAsia="zh-CN"/>
        </w:rPr>
      </w:pPr>
      <w:r>
        <w:rPr>
          <w:rFonts w:hint="eastAsia" w:ascii="楷体" w:hAnsi="楷体" w:eastAsia="楷体" w:cs="楷体"/>
          <w:color w:val="auto"/>
          <w:sz w:val="28"/>
          <w:szCs w:val="28"/>
          <w:highlight w:val="none"/>
          <w:lang w:val="en-US" w:eastAsia="zh-CN"/>
        </w:rPr>
        <w:t>3、乙方未按甲方要求完成安全隐患限期整改的，甲方有权指定第三方单位进行整改，一切整改费用由乙方承担，整改费用包括但不限于材料成本、人工成本、税费、管理费，同时需承担整改期间的一切安全生产责任。若因乙方违反安全管理责任，导致甲方造成行政处罚或赔偿，甲方有权向乙方追偿一切损失（包括但不限于行政处罚金、赔偿金，以及维权产生的</w:t>
      </w:r>
      <w:r>
        <w:rPr>
          <w:rFonts w:hint="eastAsia" w:ascii="楷体" w:hAnsi="楷体" w:eastAsia="楷体" w:cs="楷体"/>
          <w:color w:val="auto"/>
          <w:sz w:val="28"/>
          <w:szCs w:val="28"/>
          <w:highlight w:val="none"/>
        </w:rPr>
        <w:t>律师费、仲裁费、诉讼费、保全费、审计费、鉴定费</w:t>
      </w:r>
      <w:r>
        <w:rPr>
          <w:rFonts w:hint="eastAsia" w:ascii="楷体" w:hAnsi="楷体" w:eastAsia="楷体" w:cs="楷体"/>
          <w:color w:val="auto"/>
          <w:sz w:val="28"/>
          <w:szCs w:val="28"/>
          <w:highlight w:val="none"/>
          <w:lang w:val="en-US" w:eastAsia="zh-CN"/>
        </w:rPr>
        <w:t>等）。</w:t>
      </w:r>
    </w:p>
    <w:p w14:paraId="13A3FF1C">
      <w:pPr>
        <w:ind w:firstLine="560" w:firstLineChars="200"/>
        <w:rPr>
          <w:rFonts w:hint="eastAsia" w:ascii="楷体" w:hAnsi="楷体" w:eastAsia="楷体" w:cs="楷体"/>
          <w:color w:val="auto"/>
          <w:sz w:val="28"/>
          <w:szCs w:val="28"/>
          <w:highlight w:val="none"/>
          <w:lang w:val="en-US" w:eastAsia="zh-CN"/>
        </w:rPr>
      </w:pPr>
      <w:r>
        <w:rPr>
          <w:rFonts w:hint="eastAsia" w:ascii="楷体" w:hAnsi="楷体" w:eastAsia="楷体" w:cs="楷体"/>
          <w:color w:val="auto"/>
          <w:sz w:val="28"/>
          <w:szCs w:val="28"/>
          <w:highlight w:val="none"/>
          <w:lang w:val="en-US" w:eastAsia="zh-CN"/>
        </w:rPr>
        <w:t>4、因乙方</w:t>
      </w:r>
      <w:r>
        <w:rPr>
          <w:rFonts w:hint="eastAsia" w:ascii="楷体" w:hAnsi="楷体" w:eastAsia="楷体" w:cs="楷体"/>
          <w:color w:val="auto"/>
          <w:sz w:val="28"/>
          <w:szCs w:val="28"/>
          <w:highlight w:val="none"/>
          <w:lang w:val="zh-CN"/>
        </w:rPr>
        <w:t>违反</w:t>
      </w:r>
      <w:r>
        <w:rPr>
          <w:rFonts w:hint="eastAsia" w:ascii="楷体" w:hAnsi="楷体" w:eastAsia="楷体" w:cs="楷体"/>
          <w:color w:val="auto"/>
          <w:sz w:val="28"/>
          <w:szCs w:val="28"/>
          <w:highlight w:val="none"/>
          <w:lang w:val="en-US" w:eastAsia="zh-CN"/>
        </w:rPr>
        <w:t>安全生产等相关法律、法规规定及</w:t>
      </w:r>
      <w:r>
        <w:rPr>
          <w:rFonts w:hint="eastAsia" w:ascii="楷体" w:hAnsi="楷体" w:eastAsia="楷体" w:cs="楷体"/>
          <w:color w:val="auto"/>
          <w:sz w:val="28"/>
          <w:szCs w:val="28"/>
          <w:highlight w:val="none"/>
          <w:lang w:val="zh-CN"/>
        </w:rPr>
        <w:t>双方约定的条款，造成事故、险情的，由</w:t>
      </w:r>
      <w:r>
        <w:rPr>
          <w:rFonts w:hint="eastAsia" w:ascii="楷体" w:hAnsi="楷体" w:eastAsia="楷体" w:cs="楷体"/>
          <w:color w:val="auto"/>
          <w:sz w:val="28"/>
          <w:szCs w:val="28"/>
          <w:highlight w:val="none"/>
          <w:lang w:val="en-US" w:eastAsia="zh-CN"/>
        </w:rPr>
        <w:t>乙</w:t>
      </w:r>
      <w:r>
        <w:rPr>
          <w:rFonts w:hint="eastAsia" w:ascii="楷体" w:hAnsi="楷体" w:eastAsia="楷体" w:cs="楷体"/>
          <w:color w:val="auto"/>
          <w:sz w:val="28"/>
          <w:szCs w:val="28"/>
          <w:highlight w:val="none"/>
          <w:lang w:val="zh-CN"/>
        </w:rPr>
        <w:t>方承担</w:t>
      </w:r>
      <w:r>
        <w:rPr>
          <w:rFonts w:hint="eastAsia" w:ascii="楷体" w:hAnsi="楷体" w:eastAsia="楷体" w:cs="楷体"/>
          <w:color w:val="auto"/>
          <w:sz w:val="28"/>
          <w:szCs w:val="28"/>
          <w:highlight w:val="none"/>
          <w:lang w:val="en-US" w:eastAsia="zh-CN"/>
        </w:rPr>
        <w:t>由此产生的一切法律</w:t>
      </w:r>
      <w:r>
        <w:rPr>
          <w:rFonts w:hint="eastAsia" w:ascii="楷体" w:hAnsi="楷体" w:eastAsia="楷体" w:cs="楷体"/>
          <w:color w:val="auto"/>
          <w:sz w:val="28"/>
          <w:szCs w:val="28"/>
          <w:highlight w:val="none"/>
          <w:lang w:val="zh-CN"/>
        </w:rPr>
        <w:t>责任</w:t>
      </w:r>
      <w:r>
        <w:rPr>
          <w:rFonts w:hint="eastAsia" w:ascii="楷体" w:hAnsi="楷体" w:eastAsia="楷体" w:cs="楷体"/>
          <w:color w:val="auto"/>
          <w:sz w:val="28"/>
          <w:szCs w:val="28"/>
          <w:highlight w:val="none"/>
          <w:lang w:val="en-US" w:eastAsia="zh-CN"/>
        </w:rPr>
        <w:t>包括但不限于民事责任、行政责任、刑事责任、赔偿甲方的全部损失，同时甲方有权扣除乙方违约金每次</w:t>
      </w:r>
      <w:r>
        <w:rPr>
          <w:rFonts w:hint="eastAsia" w:ascii="楷体" w:hAnsi="楷体" w:eastAsia="楷体" w:cs="楷体"/>
          <w:color w:val="auto"/>
          <w:sz w:val="28"/>
          <w:szCs w:val="28"/>
          <w:highlight w:val="none"/>
        </w:rPr>
        <w:t>贰</w:t>
      </w:r>
      <w:r>
        <w:rPr>
          <w:rFonts w:hint="eastAsia" w:ascii="楷体" w:hAnsi="楷体" w:eastAsia="楷体" w:cs="楷体"/>
          <w:color w:val="auto"/>
          <w:sz w:val="28"/>
          <w:szCs w:val="28"/>
          <w:highlight w:val="none"/>
          <w:lang w:eastAsia="zh-CN"/>
        </w:rPr>
        <w:t>仟</w:t>
      </w:r>
      <w:r>
        <w:rPr>
          <w:rFonts w:hint="eastAsia" w:ascii="楷体" w:hAnsi="楷体" w:eastAsia="楷体" w:cs="楷体"/>
          <w:color w:val="auto"/>
          <w:sz w:val="28"/>
          <w:szCs w:val="28"/>
          <w:highlight w:val="none"/>
        </w:rPr>
        <w:t>至伍万元</w:t>
      </w:r>
      <w:r>
        <w:rPr>
          <w:rFonts w:hint="eastAsia" w:ascii="楷体" w:hAnsi="楷体" w:eastAsia="楷体" w:cs="楷体"/>
          <w:color w:val="auto"/>
          <w:sz w:val="28"/>
          <w:szCs w:val="28"/>
          <w:highlight w:val="none"/>
          <w:lang w:val="en-US" w:eastAsia="zh-CN"/>
        </w:rPr>
        <w:t>（从履约保证金中扣除）。</w:t>
      </w:r>
    </w:p>
    <w:p w14:paraId="33F35BCE">
      <w:pPr>
        <w:ind w:firstLine="560" w:firstLineChars="200"/>
        <w:rPr>
          <w:rFonts w:hint="eastAsia" w:ascii="楷体" w:hAnsi="楷体" w:eastAsia="楷体" w:cs="楷体"/>
          <w:color w:val="auto"/>
          <w:sz w:val="28"/>
          <w:szCs w:val="28"/>
          <w:highlight w:val="none"/>
          <w:lang w:val="zh-CN"/>
        </w:rPr>
      </w:pPr>
      <w:r>
        <w:rPr>
          <w:rFonts w:hint="eastAsia" w:ascii="楷体" w:hAnsi="楷体" w:eastAsia="楷体" w:cs="楷体"/>
          <w:color w:val="auto"/>
          <w:sz w:val="28"/>
          <w:szCs w:val="28"/>
          <w:highlight w:val="none"/>
          <w:lang w:val="zh-CN" w:eastAsia="zh-CN"/>
        </w:rPr>
        <w:t>三、</w:t>
      </w:r>
      <w:r>
        <w:rPr>
          <w:rFonts w:hint="eastAsia" w:ascii="楷体" w:hAnsi="楷体" w:eastAsia="楷体" w:cs="楷体"/>
          <w:color w:val="auto"/>
          <w:sz w:val="28"/>
          <w:szCs w:val="28"/>
          <w:highlight w:val="none"/>
          <w:lang w:val="zh-CN"/>
        </w:rPr>
        <w:t>其他事项</w:t>
      </w:r>
    </w:p>
    <w:p w14:paraId="2ECCA9CF">
      <w:pPr>
        <w:adjustRightInd w:val="0"/>
        <w:snapToGrid w:val="0"/>
        <w:spacing w:line="360" w:lineRule="auto"/>
        <w:ind w:firstLine="560" w:firstLineChars="200"/>
        <w:rPr>
          <w:rFonts w:hint="eastAsia" w:ascii="楷体" w:hAnsi="楷体" w:eastAsia="楷体" w:cs="楷体"/>
          <w:color w:val="auto"/>
          <w:sz w:val="28"/>
          <w:szCs w:val="28"/>
          <w:highlight w:val="none"/>
          <w:lang w:val="zh-CN"/>
        </w:rPr>
      </w:pPr>
      <w:r>
        <w:rPr>
          <w:rFonts w:hint="eastAsia" w:ascii="楷体" w:hAnsi="楷体" w:eastAsia="楷体" w:cs="楷体"/>
          <w:color w:val="auto"/>
          <w:sz w:val="28"/>
          <w:szCs w:val="28"/>
          <w:highlight w:val="none"/>
          <w:lang w:val="zh-CN"/>
        </w:rPr>
        <w:t>1</w:t>
      </w:r>
      <w:r>
        <w:rPr>
          <w:rFonts w:hint="eastAsia" w:ascii="楷体" w:hAnsi="楷体" w:eastAsia="楷体" w:cs="楷体"/>
          <w:color w:val="auto"/>
          <w:sz w:val="28"/>
          <w:szCs w:val="28"/>
          <w:highlight w:val="none"/>
        </w:rPr>
        <w:t>.</w:t>
      </w:r>
      <w:r>
        <w:rPr>
          <w:rFonts w:hint="eastAsia" w:ascii="楷体" w:hAnsi="楷体" w:eastAsia="楷体" w:cs="楷体"/>
          <w:color w:val="auto"/>
          <w:sz w:val="28"/>
          <w:szCs w:val="28"/>
          <w:highlight w:val="none"/>
          <w:lang w:val="zh-CN"/>
        </w:rPr>
        <w:t>本协议未尽事宜，双方另行商定，</w:t>
      </w:r>
      <w:r>
        <w:rPr>
          <w:rFonts w:hint="eastAsia" w:ascii="楷体" w:hAnsi="楷体" w:eastAsia="楷体" w:cs="楷体"/>
          <w:color w:val="auto"/>
          <w:sz w:val="28"/>
          <w:szCs w:val="28"/>
          <w:highlight w:val="none"/>
          <w:lang w:val="en-US" w:eastAsia="zh-CN"/>
        </w:rPr>
        <w:t>协商不成的，由甲方所在地法院管辖</w:t>
      </w:r>
      <w:r>
        <w:rPr>
          <w:rFonts w:hint="eastAsia" w:ascii="楷体" w:hAnsi="楷体" w:eastAsia="楷体" w:cs="楷体"/>
          <w:color w:val="auto"/>
          <w:sz w:val="28"/>
          <w:szCs w:val="28"/>
          <w:highlight w:val="none"/>
          <w:lang w:val="zh-CN"/>
        </w:rPr>
        <w:t>。</w:t>
      </w:r>
    </w:p>
    <w:p w14:paraId="63A951C6">
      <w:pPr>
        <w:adjustRightInd w:val="0"/>
        <w:snapToGrid w:val="0"/>
        <w:spacing w:line="360" w:lineRule="auto"/>
        <w:ind w:firstLine="560" w:firstLineChars="200"/>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lang w:val="en-US" w:eastAsia="zh-CN"/>
        </w:rPr>
        <w:t>2</w:t>
      </w:r>
      <w:r>
        <w:rPr>
          <w:rFonts w:hint="eastAsia" w:ascii="楷体" w:hAnsi="楷体" w:eastAsia="楷体" w:cs="楷体"/>
          <w:color w:val="auto"/>
          <w:sz w:val="28"/>
          <w:szCs w:val="28"/>
          <w:highlight w:val="none"/>
        </w:rPr>
        <w:t>.本</w:t>
      </w:r>
      <w:r>
        <w:rPr>
          <w:rFonts w:hint="eastAsia" w:ascii="楷体" w:hAnsi="楷体" w:eastAsia="楷体" w:cs="楷体"/>
          <w:color w:val="auto"/>
          <w:sz w:val="28"/>
          <w:szCs w:val="28"/>
          <w:highlight w:val="none"/>
          <w:lang w:val="en-US" w:eastAsia="zh-CN"/>
        </w:rPr>
        <w:t>协议</w:t>
      </w:r>
      <w:r>
        <w:rPr>
          <w:rFonts w:hint="eastAsia" w:ascii="楷体" w:hAnsi="楷体" w:eastAsia="楷体" w:cs="楷体"/>
          <w:color w:val="auto"/>
          <w:sz w:val="28"/>
          <w:szCs w:val="28"/>
          <w:highlight w:val="none"/>
        </w:rPr>
        <w:t>一式肆份，甲、乙</w:t>
      </w:r>
      <w:r>
        <w:rPr>
          <w:rFonts w:hint="eastAsia" w:ascii="楷体" w:hAnsi="楷体" w:eastAsia="楷体" w:cs="楷体"/>
          <w:color w:val="auto"/>
          <w:sz w:val="28"/>
          <w:szCs w:val="28"/>
          <w:highlight w:val="none"/>
          <w:lang w:val="en-US" w:eastAsia="zh-CN"/>
        </w:rPr>
        <w:t>双方</w:t>
      </w:r>
      <w:r>
        <w:rPr>
          <w:rFonts w:hint="eastAsia" w:ascii="楷体" w:hAnsi="楷体" w:eastAsia="楷体" w:cs="楷体"/>
          <w:color w:val="auto"/>
          <w:sz w:val="28"/>
          <w:szCs w:val="28"/>
          <w:highlight w:val="none"/>
        </w:rPr>
        <w:t>各执贰份，自</w:t>
      </w:r>
      <w:r>
        <w:rPr>
          <w:rFonts w:hint="eastAsia" w:ascii="楷体" w:hAnsi="楷体" w:eastAsia="楷体" w:cs="楷体"/>
          <w:color w:val="auto"/>
          <w:sz w:val="28"/>
          <w:szCs w:val="28"/>
          <w:highlight w:val="none"/>
          <w:lang w:val="en-US" w:eastAsia="zh-CN"/>
        </w:rPr>
        <w:t>签字或</w:t>
      </w:r>
      <w:r>
        <w:rPr>
          <w:rFonts w:hint="eastAsia" w:ascii="楷体" w:hAnsi="楷体" w:eastAsia="楷体" w:cs="楷体"/>
          <w:color w:val="auto"/>
          <w:sz w:val="28"/>
          <w:szCs w:val="28"/>
          <w:highlight w:val="none"/>
        </w:rPr>
        <w:t>盖章</w:t>
      </w:r>
      <w:r>
        <w:rPr>
          <w:rFonts w:hint="eastAsia" w:ascii="楷体" w:hAnsi="楷体" w:eastAsia="楷体" w:cs="楷体"/>
          <w:color w:val="auto"/>
          <w:sz w:val="28"/>
          <w:szCs w:val="28"/>
          <w:highlight w:val="none"/>
          <w:lang w:val="en-US" w:eastAsia="zh-CN"/>
        </w:rPr>
        <w:t>之日起</w:t>
      </w:r>
      <w:r>
        <w:rPr>
          <w:rFonts w:hint="eastAsia" w:ascii="楷体" w:hAnsi="楷体" w:eastAsia="楷体" w:cs="楷体"/>
          <w:color w:val="auto"/>
          <w:sz w:val="28"/>
          <w:szCs w:val="28"/>
          <w:highlight w:val="none"/>
        </w:rPr>
        <w:t>生效。</w:t>
      </w:r>
    </w:p>
    <w:p w14:paraId="636B624D">
      <w:pPr>
        <w:ind w:firstLine="560" w:firstLineChars="200"/>
        <w:rPr>
          <w:rFonts w:hint="eastAsia" w:ascii="楷体" w:hAnsi="楷体" w:eastAsia="楷体" w:cs="楷体"/>
          <w:color w:val="auto"/>
          <w:sz w:val="28"/>
          <w:szCs w:val="28"/>
          <w:highlight w:val="none"/>
          <w:lang w:val="en-US" w:eastAsia="zh-CN"/>
        </w:rPr>
      </w:pPr>
      <w:r>
        <w:rPr>
          <w:rFonts w:hint="eastAsia" w:ascii="楷体" w:hAnsi="楷体" w:eastAsia="楷体" w:cs="楷体"/>
          <w:color w:val="auto"/>
          <w:sz w:val="28"/>
          <w:szCs w:val="28"/>
          <w:highlight w:val="none"/>
          <w:lang w:eastAsia="zh-CN"/>
        </w:rPr>
        <w:t>（</w:t>
      </w:r>
      <w:r>
        <w:rPr>
          <w:rFonts w:hint="eastAsia" w:ascii="楷体" w:hAnsi="楷体" w:eastAsia="楷体" w:cs="楷体"/>
          <w:color w:val="auto"/>
          <w:sz w:val="28"/>
          <w:szCs w:val="28"/>
          <w:highlight w:val="none"/>
          <w:lang w:val="en-US" w:eastAsia="zh-CN"/>
        </w:rPr>
        <w:t>以下无正文）</w:t>
      </w:r>
    </w:p>
    <w:p w14:paraId="74058827">
      <w:pPr>
        <w:ind w:firstLine="560" w:firstLineChars="200"/>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lang w:val="en-US" w:eastAsia="zh-CN"/>
        </w:rPr>
        <w:t>（合同签署页</w:t>
      </w:r>
      <w:r>
        <w:rPr>
          <w:rFonts w:hint="eastAsia" w:ascii="楷体" w:hAnsi="楷体" w:eastAsia="楷体" w:cs="楷体"/>
          <w:color w:val="auto"/>
          <w:sz w:val="28"/>
          <w:szCs w:val="28"/>
          <w:highlight w:val="none"/>
          <w:lang w:eastAsia="zh-CN"/>
        </w:rPr>
        <w:t>）</w:t>
      </w:r>
    </w:p>
    <w:p w14:paraId="1372C3AE">
      <w:pPr>
        <w:ind w:firstLine="560" w:firstLineChars="200"/>
        <w:rPr>
          <w:rFonts w:hint="eastAsia" w:ascii="楷体" w:hAnsi="楷体" w:eastAsia="楷体" w:cs="楷体"/>
          <w:color w:val="auto"/>
          <w:sz w:val="28"/>
          <w:szCs w:val="28"/>
          <w:highlight w:val="none"/>
        </w:rPr>
      </w:pPr>
    </w:p>
    <w:p w14:paraId="6EE19958">
      <w:pPr>
        <w:ind w:firstLine="560" w:firstLineChars="200"/>
        <w:rPr>
          <w:rFonts w:hint="default" w:ascii="楷体" w:hAnsi="楷体" w:eastAsia="楷体" w:cs="楷体"/>
          <w:color w:val="auto"/>
          <w:sz w:val="28"/>
          <w:szCs w:val="28"/>
          <w:highlight w:val="none"/>
          <w:lang w:val="en-US" w:eastAsia="zh-CN"/>
        </w:rPr>
      </w:pPr>
      <w:r>
        <w:rPr>
          <w:rFonts w:hint="eastAsia" w:ascii="楷体" w:hAnsi="楷体" w:eastAsia="楷体" w:cs="楷体"/>
          <w:color w:val="auto"/>
          <w:sz w:val="28"/>
          <w:szCs w:val="28"/>
          <w:highlight w:val="none"/>
        </w:rPr>
        <w:t>甲方（盖章）：</w:t>
      </w:r>
      <w:r>
        <w:rPr>
          <w:rFonts w:hint="eastAsia" w:ascii="楷体" w:hAnsi="楷体" w:eastAsia="楷体" w:cs="楷体"/>
          <w:color w:val="auto"/>
          <w:sz w:val="28"/>
          <w:szCs w:val="28"/>
          <w:highlight w:val="none"/>
          <w:lang w:val="en-US" w:eastAsia="zh-CN"/>
        </w:rPr>
        <w:t>杭州市邻居中心管理有限公司</w:t>
      </w:r>
    </w:p>
    <w:p w14:paraId="3E355869">
      <w:pPr>
        <w:ind w:firstLine="560" w:firstLineChars="200"/>
        <w:rPr>
          <w:rFonts w:hint="default" w:ascii="楷体" w:hAnsi="楷体" w:eastAsia="楷体" w:cs="楷体"/>
          <w:color w:val="auto"/>
          <w:sz w:val="28"/>
          <w:szCs w:val="28"/>
          <w:highlight w:val="none"/>
          <w:lang w:val="en-US" w:eastAsia="zh-CN"/>
        </w:rPr>
      </w:pPr>
      <w:r>
        <w:rPr>
          <w:rFonts w:hint="eastAsia" w:ascii="楷体" w:hAnsi="楷体" w:eastAsia="楷体" w:cs="楷体"/>
          <w:color w:val="auto"/>
          <w:sz w:val="28"/>
          <w:szCs w:val="28"/>
          <w:highlight w:val="none"/>
          <w:lang w:val="en-US" w:eastAsia="zh-CN"/>
        </w:rPr>
        <w:t>法定代表人或授权代表：</w:t>
      </w:r>
    </w:p>
    <w:p w14:paraId="468B7652">
      <w:pPr>
        <w:ind w:firstLine="560" w:firstLineChars="200"/>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lang w:val="en-US" w:eastAsia="zh-CN"/>
        </w:rPr>
        <w:t>经办人</w:t>
      </w:r>
      <w:r>
        <w:rPr>
          <w:rFonts w:hint="eastAsia" w:ascii="楷体" w:hAnsi="楷体" w:eastAsia="楷体" w:cs="楷体"/>
          <w:color w:val="auto"/>
          <w:sz w:val="28"/>
          <w:szCs w:val="28"/>
          <w:highlight w:val="none"/>
        </w:rPr>
        <w:t>（签名）：</w:t>
      </w:r>
    </w:p>
    <w:p w14:paraId="20801C32">
      <w:pPr>
        <w:ind w:firstLine="560" w:firstLineChars="200"/>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rPr>
        <w:t>签订日期：    年   月   日</w:t>
      </w:r>
    </w:p>
    <w:p w14:paraId="638B2D55">
      <w:pPr>
        <w:ind w:firstLine="560" w:firstLineChars="200"/>
        <w:rPr>
          <w:rFonts w:hint="eastAsia" w:ascii="楷体" w:hAnsi="楷体" w:eastAsia="楷体" w:cs="楷体"/>
          <w:color w:val="auto"/>
          <w:sz w:val="28"/>
          <w:szCs w:val="28"/>
          <w:highlight w:val="none"/>
        </w:rPr>
      </w:pPr>
    </w:p>
    <w:p w14:paraId="330E3AC5">
      <w:pPr>
        <w:ind w:firstLine="560" w:firstLineChars="200"/>
        <w:rPr>
          <w:rFonts w:hint="eastAsia" w:ascii="楷体" w:hAnsi="楷体" w:eastAsia="楷体" w:cs="楷体"/>
          <w:color w:val="auto"/>
          <w:sz w:val="28"/>
          <w:szCs w:val="28"/>
          <w:highlight w:val="none"/>
        </w:rPr>
      </w:pPr>
    </w:p>
    <w:p w14:paraId="759CA1BF">
      <w:pPr>
        <w:ind w:firstLine="560" w:firstLineChars="200"/>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rPr>
        <w:t>乙方（</w:t>
      </w:r>
      <w:r>
        <w:rPr>
          <w:rFonts w:hint="eastAsia" w:ascii="楷体" w:hAnsi="楷体" w:eastAsia="楷体" w:cs="楷体"/>
          <w:color w:val="auto"/>
          <w:sz w:val="28"/>
          <w:szCs w:val="28"/>
          <w:highlight w:val="none"/>
          <w:lang w:val="en-US" w:eastAsia="zh-CN"/>
        </w:rPr>
        <w:t>签字或</w:t>
      </w:r>
      <w:r>
        <w:rPr>
          <w:rFonts w:hint="eastAsia" w:ascii="楷体" w:hAnsi="楷体" w:eastAsia="楷体" w:cs="楷体"/>
          <w:color w:val="auto"/>
          <w:sz w:val="28"/>
          <w:szCs w:val="28"/>
          <w:highlight w:val="none"/>
        </w:rPr>
        <w:t>盖章）：</w:t>
      </w:r>
    </w:p>
    <w:p w14:paraId="515ED09E">
      <w:pPr>
        <w:ind w:firstLine="560" w:firstLineChars="200"/>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lang w:val="en-US" w:eastAsia="zh-CN"/>
        </w:rPr>
        <w:t>法定代表人或授权代表</w:t>
      </w:r>
      <w:r>
        <w:rPr>
          <w:rFonts w:hint="eastAsia" w:ascii="楷体" w:hAnsi="楷体" w:eastAsia="楷体" w:cs="楷体"/>
          <w:color w:val="auto"/>
          <w:sz w:val="28"/>
          <w:szCs w:val="28"/>
          <w:highlight w:val="none"/>
        </w:rPr>
        <w:t>：</w:t>
      </w:r>
    </w:p>
    <w:p w14:paraId="7AB3C306">
      <w:pPr>
        <w:ind w:firstLine="560" w:firstLineChars="200"/>
        <w:rPr>
          <w:rFonts w:hint="eastAsia" w:ascii="楷体" w:hAnsi="楷体" w:eastAsia="楷体" w:cs="楷体"/>
          <w:sz w:val="28"/>
          <w:szCs w:val="28"/>
          <w:highlight w:val="none"/>
        </w:rPr>
      </w:pPr>
      <w:r>
        <w:rPr>
          <w:rFonts w:hint="eastAsia" w:ascii="楷体" w:hAnsi="楷体" w:eastAsia="楷体" w:cs="楷体"/>
          <w:color w:val="auto"/>
          <w:sz w:val="28"/>
          <w:szCs w:val="28"/>
          <w:highlight w:val="none"/>
        </w:rPr>
        <w:t>签订日期：    年   月   日</w:t>
      </w:r>
    </w:p>
    <w:p w14:paraId="78CBDE89">
      <w:pPr>
        <w:ind w:firstLine="0" w:firstLineChars="0"/>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rPr>
        <w:br w:type="page"/>
      </w:r>
    </w:p>
    <w:p w14:paraId="09BB4967">
      <w:pPr>
        <w:ind w:firstLine="0" w:firstLineChars="0"/>
        <w:rPr>
          <w:rFonts w:hint="eastAsia" w:ascii="楷体" w:hAnsi="楷体" w:eastAsia="楷体" w:cs="楷体"/>
          <w:color w:val="auto"/>
          <w:sz w:val="28"/>
          <w:szCs w:val="28"/>
          <w:highlight w:val="none"/>
          <w:lang w:eastAsia="zh-CN"/>
        </w:rPr>
      </w:pPr>
      <w:r>
        <w:rPr>
          <w:rFonts w:hint="eastAsia" w:ascii="楷体" w:hAnsi="楷体" w:eastAsia="楷体" w:cs="楷体"/>
          <w:color w:val="auto"/>
          <w:sz w:val="28"/>
          <w:szCs w:val="28"/>
          <w:highlight w:val="none"/>
        </w:rPr>
        <w:t>附件</w:t>
      </w:r>
      <w:r>
        <w:rPr>
          <w:rFonts w:hint="eastAsia" w:ascii="楷体" w:hAnsi="楷体" w:eastAsia="楷体" w:cs="楷体"/>
          <w:color w:val="auto"/>
          <w:sz w:val="28"/>
          <w:szCs w:val="28"/>
          <w:highlight w:val="none"/>
          <w:lang w:val="en-US" w:eastAsia="zh-CN"/>
        </w:rPr>
        <w:t xml:space="preserve">四 </w:t>
      </w:r>
    </w:p>
    <w:p w14:paraId="72C3A261">
      <w:pPr>
        <w:spacing w:line="480" w:lineRule="auto"/>
        <w:jc w:val="center"/>
        <w:rPr>
          <w:b/>
          <w:bCs/>
          <w:color w:val="auto"/>
          <w:szCs w:val="21"/>
          <w:highlight w:val="none"/>
        </w:rPr>
      </w:pPr>
      <w:r>
        <w:rPr>
          <w:rFonts w:hint="eastAsia" w:eastAsia="方正小标宋简体"/>
          <w:b/>
          <w:bCs/>
          <w:color w:val="auto"/>
          <w:sz w:val="44"/>
          <w:szCs w:val="44"/>
          <w:highlight w:val="none"/>
        </w:rPr>
        <w:t>移交确认书</w:t>
      </w:r>
    </w:p>
    <w:p w14:paraId="7C4DA632">
      <w:pPr>
        <w:spacing w:line="480" w:lineRule="auto"/>
        <w:rPr>
          <w:rFonts w:eastAsia="仿宋_GB2312"/>
          <w:b/>
          <w:bCs/>
          <w:color w:val="auto"/>
          <w:szCs w:val="21"/>
          <w:highlight w:val="none"/>
          <w:u w:val="single"/>
        </w:rPr>
      </w:pPr>
      <w:r>
        <w:rPr>
          <w:rFonts w:hint="eastAsia" w:eastAsia="仿宋_GB2312"/>
          <w:b/>
          <w:bCs/>
          <w:color w:val="auto"/>
          <w:szCs w:val="21"/>
          <w:highlight w:val="none"/>
        </w:rPr>
        <w:t>承租单位名称：</w:t>
      </w:r>
      <w:r>
        <w:rPr>
          <w:rFonts w:eastAsia="仿宋_GB2312"/>
          <w:b/>
          <w:bCs/>
          <w:color w:val="auto"/>
          <w:szCs w:val="21"/>
          <w:highlight w:val="none"/>
          <w:u w:val="single"/>
        </w:rPr>
        <w:t xml:space="preserve">                            </w:t>
      </w:r>
      <w:r>
        <w:rPr>
          <w:rFonts w:hint="eastAsia" w:eastAsia="仿宋_GB2312"/>
          <w:b/>
          <w:bCs/>
          <w:color w:val="auto"/>
          <w:szCs w:val="21"/>
          <w:highlight w:val="none"/>
        </w:rPr>
        <w:t>物业房间号：</w:t>
      </w:r>
      <w:r>
        <w:rPr>
          <w:rFonts w:eastAsia="仿宋_GB2312"/>
          <w:b/>
          <w:bCs/>
          <w:color w:val="auto"/>
          <w:szCs w:val="21"/>
          <w:highlight w:val="none"/>
          <w:u w:val="single"/>
        </w:rPr>
        <w:t xml:space="preserve">                          </w:t>
      </w:r>
    </w:p>
    <w:p w14:paraId="4B3C14A6">
      <w:pPr>
        <w:spacing w:line="480" w:lineRule="auto"/>
        <w:rPr>
          <w:rFonts w:eastAsia="仿宋_GB2312"/>
          <w:b/>
          <w:bCs/>
          <w:color w:val="auto"/>
          <w:szCs w:val="21"/>
          <w:highlight w:val="none"/>
          <w:u w:val="single"/>
        </w:rPr>
      </w:pPr>
      <w:r>
        <w:rPr>
          <w:rFonts w:hint="eastAsia" w:eastAsia="仿宋_GB2312"/>
          <w:b/>
          <w:bCs/>
          <w:color w:val="auto"/>
          <w:szCs w:val="21"/>
          <w:highlight w:val="none"/>
        </w:rPr>
        <w:t>物业面积：</w:t>
      </w:r>
      <w:r>
        <w:rPr>
          <w:rFonts w:eastAsia="仿宋_GB2312"/>
          <w:b/>
          <w:bCs/>
          <w:color w:val="auto"/>
          <w:szCs w:val="21"/>
          <w:highlight w:val="none"/>
          <w:u w:val="single"/>
        </w:rPr>
        <w:t xml:space="preserve">                                </w:t>
      </w:r>
      <w:r>
        <w:rPr>
          <w:rFonts w:hint="eastAsia" w:eastAsia="仿宋_GB2312"/>
          <w:b/>
          <w:bCs/>
          <w:color w:val="auto"/>
          <w:szCs w:val="21"/>
          <w:highlight w:val="none"/>
        </w:rPr>
        <w:t>移交日期：</w:t>
      </w:r>
      <w:r>
        <w:rPr>
          <w:rFonts w:eastAsia="仿宋_GB2312"/>
          <w:b/>
          <w:bCs/>
          <w:color w:val="auto"/>
          <w:szCs w:val="21"/>
          <w:highlight w:val="none"/>
          <w:u w:val="single"/>
        </w:rPr>
        <w:t xml:space="preserve">                            </w:t>
      </w:r>
    </w:p>
    <w:tbl>
      <w:tblPr>
        <w:tblStyle w:val="8"/>
        <w:tblW w:w="0" w:type="auto"/>
        <w:tblInd w:w="-176" w:type="dxa"/>
        <w:tblLayout w:type="fixed"/>
        <w:tblCellMar>
          <w:top w:w="0" w:type="dxa"/>
          <w:left w:w="108" w:type="dxa"/>
          <w:bottom w:w="0" w:type="dxa"/>
          <w:right w:w="108" w:type="dxa"/>
        </w:tblCellMar>
      </w:tblPr>
      <w:tblGrid>
        <w:gridCol w:w="716"/>
        <w:gridCol w:w="2874"/>
        <w:gridCol w:w="2918"/>
        <w:gridCol w:w="2059"/>
      </w:tblGrid>
      <w:tr w14:paraId="001A01CF">
        <w:tblPrEx>
          <w:tblCellMar>
            <w:top w:w="0" w:type="dxa"/>
            <w:left w:w="108" w:type="dxa"/>
            <w:bottom w:w="0" w:type="dxa"/>
            <w:right w:w="108" w:type="dxa"/>
          </w:tblCellMar>
        </w:tblPrEx>
        <w:trPr>
          <w:trHeight w:val="469" w:hRule="atLeast"/>
        </w:trPr>
        <w:tc>
          <w:tcPr>
            <w:tcW w:w="716" w:type="dxa"/>
            <w:tcBorders>
              <w:top w:val="single" w:color="000000" w:sz="4" w:space="0"/>
              <w:left w:val="single" w:color="000000" w:sz="4" w:space="0"/>
              <w:bottom w:val="single" w:color="000000" w:sz="4" w:space="0"/>
              <w:right w:val="single" w:color="000000" w:sz="4" w:space="0"/>
            </w:tcBorders>
            <w:vAlign w:val="center"/>
          </w:tcPr>
          <w:p w14:paraId="48ABC7B5">
            <w:pPr>
              <w:jc w:val="center"/>
              <w:rPr>
                <w:rFonts w:eastAsia="仿宋_GB2312"/>
                <w:b/>
                <w:bCs/>
                <w:color w:val="auto"/>
                <w:szCs w:val="21"/>
                <w:highlight w:val="none"/>
              </w:rPr>
            </w:pPr>
            <w:r>
              <w:rPr>
                <w:rFonts w:hint="eastAsia" w:eastAsia="仿宋_GB2312"/>
                <w:b/>
                <w:bCs/>
                <w:color w:val="auto"/>
                <w:szCs w:val="21"/>
                <w:highlight w:val="none"/>
              </w:rPr>
              <w:t xml:space="preserve">类别                                                                                                                                                </w:t>
            </w:r>
          </w:p>
        </w:tc>
        <w:tc>
          <w:tcPr>
            <w:tcW w:w="2874" w:type="dxa"/>
            <w:tcBorders>
              <w:top w:val="single" w:color="000000" w:sz="4" w:space="0"/>
              <w:left w:val="nil"/>
              <w:bottom w:val="single" w:color="000000" w:sz="4" w:space="0"/>
              <w:right w:val="single" w:color="000000" w:sz="4" w:space="0"/>
            </w:tcBorders>
            <w:vAlign w:val="center"/>
          </w:tcPr>
          <w:p w14:paraId="0DE3D48F">
            <w:pPr>
              <w:jc w:val="center"/>
              <w:rPr>
                <w:rFonts w:eastAsia="仿宋_GB2312"/>
                <w:b/>
                <w:bCs/>
                <w:color w:val="auto"/>
                <w:szCs w:val="21"/>
                <w:highlight w:val="none"/>
              </w:rPr>
            </w:pPr>
            <w:r>
              <w:rPr>
                <w:rFonts w:hint="eastAsia" w:eastAsia="仿宋_GB2312"/>
                <w:b/>
                <w:bCs/>
                <w:color w:val="auto"/>
                <w:szCs w:val="21"/>
                <w:highlight w:val="none"/>
              </w:rPr>
              <w:t xml:space="preserve">检验项目                                                                                                                                                                                                             </w:t>
            </w:r>
          </w:p>
        </w:tc>
        <w:tc>
          <w:tcPr>
            <w:tcW w:w="2918" w:type="dxa"/>
            <w:tcBorders>
              <w:top w:val="single" w:color="000000" w:sz="4" w:space="0"/>
              <w:left w:val="nil"/>
              <w:bottom w:val="single" w:color="000000" w:sz="4" w:space="0"/>
              <w:right w:val="single" w:color="000000" w:sz="4" w:space="0"/>
            </w:tcBorders>
            <w:vAlign w:val="center"/>
          </w:tcPr>
          <w:p w14:paraId="2FC2857F">
            <w:pPr>
              <w:jc w:val="center"/>
              <w:rPr>
                <w:rFonts w:eastAsia="仿宋_GB2312"/>
                <w:b/>
                <w:bCs/>
                <w:color w:val="auto"/>
                <w:szCs w:val="21"/>
                <w:highlight w:val="none"/>
              </w:rPr>
            </w:pPr>
            <w:r>
              <w:rPr>
                <w:rFonts w:hint="eastAsia" w:eastAsia="仿宋_GB2312"/>
                <w:b/>
                <w:bCs/>
                <w:color w:val="auto"/>
                <w:szCs w:val="21"/>
                <w:highlight w:val="none"/>
              </w:rPr>
              <w:t>验收情况</w:t>
            </w:r>
            <w:r>
              <w:rPr>
                <w:rFonts w:eastAsia="仿宋_GB2312"/>
                <w:b/>
                <w:bCs/>
                <w:color w:val="auto"/>
                <w:szCs w:val="21"/>
                <w:highlight w:val="none"/>
              </w:rPr>
              <w:t xml:space="preserve">                                                                     </w:t>
            </w:r>
          </w:p>
        </w:tc>
        <w:tc>
          <w:tcPr>
            <w:tcW w:w="2059" w:type="dxa"/>
            <w:tcBorders>
              <w:top w:val="single" w:color="000000" w:sz="4" w:space="0"/>
              <w:bottom w:val="single" w:color="000000" w:sz="4" w:space="0"/>
              <w:right w:val="single" w:color="000000" w:sz="4" w:space="0"/>
            </w:tcBorders>
            <w:vAlign w:val="center"/>
          </w:tcPr>
          <w:p w14:paraId="0D3D7D39">
            <w:pPr>
              <w:jc w:val="center"/>
              <w:rPr>
                <w:rFonts w:eastAsia="仿宋_GB2312"/>
                <w:b/>
                <w:bCs/>
                <w:color w:val="auto"/>
                <w:szCs w:val="21"/>
                <w:highlight w:val="none"/>
              </w:rPr>
            </w:pPr>
            <w:r>
              <w:rPr>
                <w:rFonts w:hint="eastAsia" w:eastAsia="仿宋_GB2312"/>
                <w:b/>
                <w:bCs/>
                <w:color w:val="auto"/>
                <w:szCs w:val="21"/>
                <w:highlight w:val="none"/>
              </w:rPr>
              <w:t xml:space="preserve">备注                                                                                  </w:t>
            </w:r>
          </w:p>
        </w:tc>
      </w:tr>
      <w:tr w14:paraId="04ABB960">
        <w:tblPrEx>
          <w:tblCellMar>
            <w:top w:w="0" w:type="dxa"/>
            <w:left w:w="108" w:type="dxa"/>
            <w:bottom w:w="0" w:type="dxa"/>
            <w:right w:w="108" w:type="dxa"/>
          </w:tblCellMar>
        </w:tblPrEx>
        <w:trPr>
          <w:trHeight w:val="342" w:hRule="atLeast"/>
        </w:trPr>
        <w:tc>
          <w:tcPr>
            <w:tcW w:w="716" w:type="dxa"/>
            <w:vMerge w:val="restart"/>
            <w:tcBorders>
              <w:top w:val="nil"/>
              <w:left w:val="single" w:color="000000" w:sz="4" w:space="0"/>
              <w:right w:val="single" w:color="000000" w:sz="4" w:space="0"/>
            </w:tcBorders>
            <w:vAlign w:val="center"/>
          </w:tcPr>
          <w:p w14:paraId="7D1C3FC3">
            <w:pPr>
              <w:jc w:val="center"/>
              <w:rPr>
                <w:rFonts w:eastAsia="仿宋_GB2312"/>
                <w:color w:val="auto"/>
                <w:szCs w:val="21"/>
                <w:highlight w:val="none"/>
              </w:rPr>
            </w:pPr>
            <w:r>
              <w:rPr>
                <w:rFonts w:hint="eastAsia" w:eastAsia="仿宋_GB2312"/>
                <w:color w:val="auto"/>
                <w:szCs w:val="21"/>
                <w:highlight w:val="none"/>
              </w:rPr>
              <w:t>土</w:t>
            </w:r>
            <w:r>
              <w:rPr>
                <w:rFonts w:eastAsia="仿宋_GB2312"/>
                <w:color w:val="auto"/>
                <w:szCs w:val="21"/>
                <w:highlight w:val="none"/>
              </w:rPr>
              <w:t xml:space="preserve">      </w:t>
            </w:r>
            <w:r>
              <w:rPr>
                <w:rFonts w:hint="eastAsia" w:eastAsia="仿宋_GB2312"/>
                <w:color w:val="auto"/>
                <w:szCs w:val="21"/>
                <w:highlight w:val="none"/>
              </w:rPr>
              <w:t>建</w:t>
            </w:r>
          </w:p>
        </w:tc>
        <w:tc>
          <w:tcPr>
            <w:tcW w:w="2874" w:type="dxa"/>
            <w:tcBorders>
              <w:top w:val="nil"/>
              <w:left w:val="nil"/>
              <w:bottom w:val="single" w:color="000000" w:sz="4" w:space="0"/>
              <w:right w:val="single" w:color="000000" w:sz="4" w:space="0"/>
            </w:tcBorders>
            <w:vAlign w:val="center"/>
          </w:tcPr>
          <w:p w14:paraId="102958F9">
            <w:pPr>
              <w:rPr>
                <w:rFonts w:eastAsia="仿宋_GB2312"/>
                <w:color w:val="auto"/>
                <w:szCs w:val="21"/>
                <w:highlight w:val="none"/>
              </w:rPr>
            </w:pPr>
            <w:r>
              <w:rPr>
                <w:rFonts w:hint="eastAsia" w:eastAsia="仿宋_GB2312"/>
                <w:color w:val="auto"/>
                <w:szCs w:val="21"/>
                <w:highlight w:val="none"/>
              </w:rPr>
              <w:t>1.外墙、幕墙</w:t>
            </w:r>
          </w:p>
        </w:tc>
        <w:tc>
          <w:tcPr>
            <w:tcW w:w="2918" w:type="dxa"/>
            <w:tcBorders>
              <w:top w:val="nil"/>
              <w:left w:val="nil"/>
              <w:bottom w:val="single" w:color="000000" w:sz="4" w:space="0"/>
              <w:right w:val="single" w:color="000000" w:sz="4" w:space="0"/>
            </w:tcBorders>
            <w:vAlign w:val="center"/>
          </w:tcPr>
          <w:p w14:paraId="7CA6B315">
            <w:pPr>
              <w:rPr>
                <w:rFonts w:eastAsia="仿宋_GB2312"/>
                <w:color w:val="auto"/>
                <w:szCs w:val="21"/>
                <w:highlight w:val="none"/>
              </w:rPr>
            </w:pPr>
          </w:p>
        </w:tc>
        <w:tc>
          <w:tcPr>
            <w:tcW w:w="2059" w:type="dxa"/>
            <w:tcBorders>
              <w:top w:val="single" w:color="000000" w:sz="4" w:space="0"/>
              <w:bottom w:val="single" w:color="000000" w:sz="4" w:space="0"/>
              <w:right w:val="single" w:color="000000" w:sz="4" w:space="0"/>
            </w:tcBorders>
            <w:vAlign w:val="center"/>
          </w:tcPr>
          <w:p w14:paraId="0DD9D14C">
            <w:pPr>
              <w:rPr>
                <w:rFonts w:eastAsia="仿宋_GB2312"/>
                <w:color w:val="auto"/>
                <w:szCs w:val="21"/>
                <w:highlight w:val="none"/>
              </w:rPr>
            </w:pPr>
          </w:p>
        </w:tc>
      </w:tr>
      <w:tr w14:paraId="51304C0E">
        <w:tblPrEx>
          <w:tblCellMar>
            <w:top w:w="0" w:type="dxa"/>
            <w:left w:w="108" w:type="dxa"/>
            <w:bottom w:w="0" w:type="dxa"/>
            <w:right w:w="108" w:type="dxa"/>
          </w:tblCellMar>
        </w:tblPrEx>
        <w:trPr>
          <w:trHeight w:val="342" w:hRule="atLeast"/>
        </w:trPr>
        <w:tc>
          <w:tcPr>
            <w:tcW w:w="716" w:type="dxa"/>
            <w:vMerge w:val="continue"/>
            <w:tcBorders>
              <w:top w:val="nil"/>
              <w:left w:val="single" w:color="000000" w:sz="4" w:space="0"/>
              <w:right w:val="single" w:color="000000" w:sz="4" w:space="0"/>
            </w:tcBorders>
            <w:vAlign w:val="center"/>
          </w:tcPr>
          <w:p w14:paraId="3CBDF2E0">
            <w:pPr>
              <w:rPr>
                <w:rFonts w:eastAsia="仿宋_GB2312"/>
                <w:color w:val="auto"/>
                <w:szCs w:val="21"/>
                <w:highlight w:val="none"/>
              </w:rPr>
            </w:pPr>
          </w:p>
        </w:tc>
        <w:tc>
          <w:tcPr>
            <w:tcW w:w="2874" w:type="dxa"/>
            <w:tcBorders>
              <w:top w:val="nil"/>
              <w:left w:val="nil"/>
              <w:bottom w:val="single" w:color="000000" w:sz="4" w:space="0"/>
              <w:right w:val="single" w:color="000000" w:sz="4" w:space="0"/>
            </w:tcBorders>
            <w:vAlign w:val="center"/>
          </w:tcPr>
          <w:p w14:paraId="426A673C">
            <w:pPr>
              <w:rPr>
                <w:rFonts w:eastAsia="仿宋_GB2312"/>
                <w:color w:val="auto"/>
                <w:szCs w:val="21"/>
                <w:highlight w:val="none"/>
              </w:rPr>
            </w:pPr>
            <w:r>
              <w:rPr>
                <w:rFonts w:hint="eastAsia" w:eastAsia="仿宋_GB2312"/>
                <w:color w:val="auto"/>
                <w:szCs w:val="21"/>
                <w:highlight w:val="none"/>
              </w:rPr>
              <w:t>2.内墙、隔墙</w:t>
            </w:r>
          </w:p>
        </w:tc>
        <w:tc>
          <w:tcPr>
            <w:tcW w:w="2918" w:type="dxa"/>
            <w:tcBorders>
              <w:top w:val="nil"/>
              <w:left w:val="nil"/>
              <w:bottom w:val="single" w:color="000000" w:sz="4" w:space="0"/>
              <w:right w:val="single" w:color="000000" w:sz="4" w:space="0"/>
            </w:tcBorders>
            <w:vAlign w:val="center"/>
          </w:tcPr>
          <w:p w14:paraId="3965A30A">
            <w:pPr>
              <w:rPr>
                <w:rFonts w:eastAsia="仿宋_GB2312"/>
                <w:color w:val="auto"/>
                <w:szCs w:val="21"/>
                <w:highlight w:val="none"/>
              </w:rPr>
            </w:pPr>
          </w:p>
        </w:tc>
        <w:tc>
          <w:tcPr>
            <w:tcW w:w="2059" w:type="dxa"/>
            <w:tcBorders>
              <w:top w:val="single" w:color="000000" w:sz="4" w:space="0"/>
              <w:bottom w:val="single" w:color="000000" w:sz="4" w:space="0"/>
              <w:right w:val="single" w:color="000000" w:sz="4" w:space="0"/>
            </w:tcBorders>
            <w:vAlign w:val="center"/>
          </w:tcPr>
          <w:p w14:paraId="517F4EF5">
            <w:pPr>
              <w:rPr>
                <w:rFonts w:eastAsia="仿宋_GB2312"/>
                <w:color w:val="auto"/>
                <w:szCs w:val="21"/>
                <w:highlight w:val="none"/>
              </w:rPr>
            </w:pPr>
          </w:p>
        </w:tc>
      </w:tr>
      <w:tr w14:paraId="6536B047">
        <w:tblPrEx>
          <w:tblCellMar>
            <w:top w:w="0" w:type="dxa"/>
            <w:left w:w="108" w:type="dxa"/>
            <w:bottom w:w="0" w:type="dxa"/>
            <w:right w:w="108" w:type="dxa"/>
          </w:tblCellMar>
        </w:tblPrEx>
        <w:trPr>
          <w:trHeight w:val="342" w:hRule="atLeast"/>
        </w:trPr>
        <w:tc>
          <w:tcPr>
            <w:tcW w:w="716" w:type="dxa"/>
            <w:vMerge w:val="continue"/>
            <w:tcBorders>
              <w:top w:val="nil"/>
              <w:left w:val="single" w:color="000000" w:sz="4" w:space="0"/>
              <w:right w:val="single" w:color="000000" w:sz="4" w:space="0"/>
            </w:tcBorders>
            <w:vAlign w:val="center"/>
          </w:tcPr>
          <w:p w14:paraId="15CDE3C3">
            <w:pPr>
              <w:rPr>
                <w:rFonts w:eastAsia="仿宋_GB2312"/>
                <w:color w:val="auto"/>
                <w:szCs w:val="21"/>
                <w:highlight w:val="none"/>
              </w:rPr>
            </w:pPr>
          </w:p>
        </w:tc>
        <w:tc>
          <w:tcPr>
            <w:tcW w:w="2874" w:type="dxa"/>
            <w:tcBorders>
              <w:top w:val="nil"/>
              <w:left w:val="nil"/>
              <w:bottom w:val="single" w:color="000000" w:sz="4" w:space="0"/>
              <w:right w:val="single" w:color="000000" w:sz="4" w:space="0"/>
            </w:tcBorders>
            <w:vAlign w:val="center"/>
          </w:tcPr>
          <w:p w14:paraId="235BA25B">
            <w:pPr>
              <w:rPr>
                <w:rFonts w:eastAsia="仿宋_GB2312"/>
                <w:color w:val="auto"/>
                <w:szCs w:val="21"/>
                <w:highlight w:val="none"/>
              </w:rPr>
            </w:pPr>
            <w:r>
              <w:rPr>
                <w:rFonts w:eastAsia="仿宋_GB2312"/>
                <w:color w:val="auto"/>
                <w:szCs w:val="21"/>
                <w:highlight w:val="none"/>
              </w:rPr>
              <w:t>3.</w:t>
            </w:r>
            <w:r>
              <w:rPr>
                <w:rFonts w:hint="eastAsia" w:eastAsia="仿宋_GB2312"/>
                <w:color w:val="auto"/>
                <w:szCs w:val="21"/>
                <w:highlight w:val="none"/>
              </w:rPr>
              <w:t>地面</w:t>
            </w:r>
          </w:p>
        </w:tc>
        <w:tc>
          <w:tcPr>
            <w:tcW w:w="2918" w:type="dxa"/>
            <w:tcBorders>
              <w:top w:val="nil"/>
              <w:left w:val="nil"/>
              <w:bottom w:val="single" w:color="000000" w:sz="4" w:space="0"/>
              <w:right w:val="single" w:color="000000" w:sz="4" w:space="0"/>
            </w:tcBorders>
            <w:vAlign w:val="center"/>
          </w:tcPr>
          <w:p w14:paraId="00DFCE11">
            <w:pPr>
              <w:rPr>
                <w:rFonts w:eastAsia="仿宋_GB2312"/>
                <w:color w:val="auto"/>
                <w:szCs w:val="21"/>
                <w:highlight w:val="none"/>
              </w:rPr>
            </w:pPr>
          </w:p>
        </w:tc>
        <w:tc>
          <w:tcPr>
            <w:tcW w:w="2059" w:type="dxa"/>
            <w:tcBorders>
              <w:top w:val="single" w:color="000000" w:sz="4" w:space="0"/>
              <w:bottom w:val="single" w:color="000000" w:sz="4" w:space="0"/>
              <w:right w:val="single" w:color="000000" w:sz="4" w:space="0"/>
            </w:tcBorders>
            <w:vAlign w:val="center"/>
          </w:tcPr>
          <w:p w14:paraId="3C66B714">
            <w:pPr>
              <w:rPr>
                <w:rFonts w:eastAsia="仿宋_GB2312"/>
                <w:color w:val="auto"/>
                <w:szCs w:val="21"/>
                <w:highlight w:val="none"/>
              </w:rPr>
            </w:pPr>
          </w:p>
        </w:tc>
      </w:tr>
      <w:tr w14:paraId="74D657DE">
        <w:tblPrEx>
          <w:tblCellMar>
            <w:top w:w="0" w:type="dxa"/>
            <w:left w:w="108" w:type="dxa"/>
            <w:bottom w:w="0" w:type="dxa"/>
            <w:right w:w="108" w:type="dxa"/>
          </w:tblCellMar>
        </w:tblPrEx>
        <w:trPr>
          <w:trHeight w:val="342" w:hRule="atLeast"/>
        </w:trPr>
        <w:tc>
          <w:tcPr>
            <w:tcW w:w="716" w:type="dxa"/>
            <w:vMerge w:val="continue"/>
            <w:tcBorders>
              <w:top w:val="nil"/>
              <w:left w:val="single" w:color="000000" w:sz="4" w:space="0"/>
              <w:right w:val="single" w:color="000000" w:sz="4" w:space="0"/>
            </w:tcBorders>
            <w:vAlign w:val="center"/>
          </w:tcPr>
          <w:p w14:paraId="147FF800">
            <w:pPr>
              <w:rPr>
                <w:rFonts w:eastAsia="仿宋_GB2312"/>
                <w:color w:val="auto"/>
                <w:szCs w:val="21"/>
                <w:highlight w:val="none"/>
              </w:rPr>
            </w:pPr>
          </w:p>
        </w:tc>
        <w:tc>
          <w:tcPr>
            <w:tcW w:w="2874" w:type="dxa"/>
            <w:tcBorders>
              <w:top w:val="nil"/>
              <w:left w:val="nil"/>
              <w:bottom w:val="single" w:color="000000" w:sz="4" w:space="0"/>
              <w:right w:val="single" w:color="000000" w:sz="4" w:space="0"/>
            </w:tcBorders>
            <w:vAlign w:val="center"/>
          </w:tcPr>
          <w:p w14:paraId="403E8B9C">
            <w:pPr>
              <w:rPr>
                <w:rFonts w:eastAsia="仿宋_GB2312"/>
                <w:color w:val="auto"/>
                <w:szCs w:val="21"/>
                <w:highlight w:val="none"/>
              </w:rPr>
            </w:pPr>
            <w:r>
              <w:rPr>
                <w:rFonts w:hint="eastAsia" w:eastAsia="仿宋_GB2312"/>
                <w:color w:val="auto"/>
                <w:szCs w:val="21"/>
                <w:highlight w:val="none"/>
              </w:rPr>
              <w:t>4.顶板</w:t>
            </w:r>
          </w:p>
        </w:tc>
        <w:tc>
          <w:tcPr>
            <w:tcW w:w="2918" w:type="dxa"/>
            <w:tcBorders>
              <w:top w:val="nil"/>
              <w:left w:val="nil"/>
              <w:bottom w:val="single" w:color="000000" w:sz="4" w:space="0"/>
              <w:right w:val="single" w:color="000000" w:sz="4" w:space="0"/>
            </w:tcBorders>
            <w:vAlign w:val="center"/>
          </w:tcPr>
          <w:p w14:paraId="081D8F92">
            <w:pPr>
              <w:rPr>
                <w:rFonts w:eastAsia="仿宋_GB2312"/>
                <w:color w:val="auto"/>
                <w:szCs w:val="21"/>
                <w:highlight w:val="none"/>
              </w:rPr>
            </w:pPr>
          </w:p>
        </w:tc>
        <w:tc>
          <w:tcPr>
            <w:tcW w:w="2059" w:type="dxa"/>
            <w:tcBorders>
              <w:top w:val="single" w:color="000000" w:sz="4" w:space="0"/>
              <w:bottom w:val="single" w:color="000000" w:sz="4" w:space="0"/>
              <w:right w:val="single" w:color="000000" w:sz="4" w:space="0"/>
            </w:tcBorders>
            <w:vAlign w:val="center"/>
          </w:tcPr>
          <w:p w14:paraId="1B61ABA3">
            <w:pPr>
              <w:rPr>
                <w:rFonts w:eastAsia="仿宋_GB2312"/>
                <w:color w:val="auto"/>
                <w:szCs w:val="21"/>
                <w:highlight w:val="none"/>
              </w:rPr>
            </w:pPr>
          </w:p>
        </w:tc>
      </w:tr>
      <w:tr w14:paraId="606FEDDA">
        <w:tblPrEx>
          <w:tblCellMar>
            <w:top w:w="0" w:type="dxa"/>
            <w:left w:w="108" w:type="dxa"/>
            <w:bottom w:w="0" w:type="dxa"/>
            <w:right w:w="108" w:type="dxa"/>
          </w:tblCellMar>
        </w:tblPrEx>
        <w:trPr>
          <w:trHeight w:val="407" w:hRule="atLeast"/>
        </w:trPr>
        <w:tc>
          <w:tcPr>
            <w:tcW w:w="716" w:type="dxa"/>
            <w:vMerge w:val="continue"/>
            <w:tcBorders>
              <w:top w:val="nil"/>
              <w:left w:val="single" w:color="000000" w:sz="4" w:space="0"/>
              <w:bottom w:val="single" w:color="auto" w:sz="4" w:space="0"/>
              <w:right w:val="single" w:color="000000" w:sz="4" w:space="0"/>
            </w:tcBorders>
            <w:vAlign w:val="center"/>
          </w:tcPr>
          <w:p w14:paraId="7DCAD69E">
            <w:pPr>
              <w:rPr>
                <w:rFonts w:eastAsia="仿宋_GB2312"/>
                <w:color w:val="auto"/>
                <w:szCs w:val="21"/>
                <w:highlight w:val="none"/>
              </w:rPr>
            </w:pPr>
          </w:p>
        </w:tc>
        <w:tc>
          <w:tcPr>
            <w:tcW w:w="2874" w:type="dxa"/>
            <w:tcBorders>
              <w:top w:val="single" w:color="000000" w:sz="4" w:space="0"/>
              <w:left w:val="nil"/>
              <w:bottom w:val="nil"/>
              <w:right w:val="nil"/>
            </w:tcBorders>
            <w:vAlign w:val="center"/>
          </w:tcPr>
          <w:p w14:paraId="31A56846">
            <w:pPr>
              <w:spacing w:line="127" w:lineRule="atLeast"/>
              <w:rPr>
                <w:rFonts w:eastAsia="仿宋_GB2312"/>
                <w:color w:val="auto"/>
                <w:szCs w:val="21"/>
                <w:highlight w:val="none"/>
              </w:rPr>
            </w:pPr>
            <w:r>
              <w:rPr>
                <w:rFonts w:eastAsia="仿宋_GB2312"/>
                <w:color w:val="auto"/>
                <w:szCs w:val="21"/>
                <w:highlight w:val="none"/>
              </w:rPr>
              <w:t>5</w:t>
            </w:r>
            <w:r>
              <w:rPr>
                <w:rFonts w:hint="eastAsia" w:eastAsia="仿宋_GB2312"/>
                <w:color w:val="auto"/>
                <w:szCs w:val="21"/>
                <w:highlight w:val="none"/>
              </w:rPr>
              <w:t>.其它</w:t>
            </w:r>
          </w:p>
        </w:tc>
        <w:tc>
          <w:tcPr>
            <w:tcW w:w="2918" w:type="dxa"/>
            <w:tcBorders>
              <w:top w:val="single" w:color="000000" w:sz="4" w:space="0"/>
              <w:left w:val="single" w:color="000000" w:sz="4" w:space="0"/>
              <w:bottom w:val="single" w:color="000000" w:sz="4" w:space="0"/>
              <w:right w:val="single" w:color="000000" w:sz="4" w:space="0"/>
            </w:tcBorders>
            <w:vAlign w:val="center"/>
          </w:tcPr>
          <w:p w14:paraId="52A5E3C1">
            <w:pPr>
              <w:rPr>
                <w:rFonts w:eastAsia="仿宋_GB2312"/>
                <w:color w:val="auto"/>
                <w:szCs w:val="21"/>
                <w:highlight w:val="none"/>
              </w:rPr>
            </w:pPr>
          </w:p>
        </w:tc>
        <w:tc>
          <w:tcPr>
            <w:tcW w:w="2059" w:type="dxa"/>
            <w:tcBorders>
              <w:top w:val="single" w:color="000000" w:sz="4" w:space="0"/>
              <w:bottom w:val="single" w:color="000000" w:sz="4" w:space="0"/>
              <w:right w:val="single" w:color="000000" w:sz="4" w:space="0"/>
            </w:tcBorders>
            <w:vAlign w:val="center"/>
          </w:tcPr>
          <w:p w14:paraId="280AA154">
            <w:pPr>
              <w:rPr>
                <w:rFonts w:eastAsia="仿宋_GB2312"/>
                <w:color w:val="auto"/>
                <w:szCs w:val="21"/>
                <w:highlight w:val="none"/>
              </w:rPr>
            </w:pPr>
          </w:p>
        </w:tc>
      </w:tr>
      <w:tr w14:paraId="2C7285F4">
        <w:tblPrEx>
          <w:tblCellMar>
            <w:top w:w="0" w:type="dxa"/>
            <w:left w:w="108" w:type="dxa"/>
            <w:bottom w:w="0" w:type="dxa"/>
            <w:right w:w="108" w:type="dxa"/>
          </w:tblCellMar>
        </w:tblPrEx>
        <w:trPr>
          <w:trHeight w:val="342" w:hRule="atLeast"/>
        </w:trPr>
        <w:tc>
          <w:tcPr>
            <w:tcW w:w="716" w:type="dxa"/>
            <w:tcBorders>
              <w:top w:val="single" w:color="auto" w:sz="4" w:space="0"/>
              <w:left w:val="single" w:color="000000" w:sz="4" w:space="0"/>
              <w:right w:val="single" w:color="000000" w:sz="4" w:space="0"/>
            </w:tcBorders>
            <w:vAlign w:val="center"/>
          </w:tcPr>
          <w:p w14:paraId="26F4494B">
            <w:pPr>
              <w:jc w:val="center"/>
              <w:rPr>
                <w:rFonts w:eastAsia="仿宋_GB2312"/>
                <w:color w:val="auto"/>
                <w:szCs w:val="21"/>
                <w:highlight w:val="none"/>
              </w:rPr>
            </w:pPr>
            <w:r>
              <w:rPr>
                <w:rFonts w:hint="eastAsia" w:eastAsia="仿宋_GB2312"/>
                <w:color w:val="auto"/>
                <w:szCs w:val="21"/>
                <w:highlight w:val="none"/>
              </w:rPr>
              <w:t xml:space="preserve">  给  排  水</w:t>
            </w:r>
          </w:p>
        </w:tc>
        <w:tc>
          <w:tcPr>
            <w:tcW w:w="2874" w:type="dxa"/>
            <w:tcBorders>
              <w:top w:val="single" w:color="000000" w:sz="4" w:space="0"/>
              <w:left w:val="nil"/>
              <w:bottom w:val="single" w:color="000000" w:sz="4" w:space="0"/>
              <w:right w:val="single" w:color="000000" w:sz="4" w:space="0"/>
            </w:tcBorders>
            <w:vAlign w:val="center"/>
          </w:tcPr>
          <w:p w14:paraId="11C562D7">
            <w:pPr>
              <w:rPr>
                <w:rFonts w:eastAsia="仿宋_GB2312"/>
                <w:color w:val="auto"/>
                <w:szCs w:val="21"/>
                <w:highlight w:val="none"/>
              </w:rPr>
            </w:pPr>
            <w:r>
              <w:rPr>
                <w:rFonts w:hint="eastAsia" w:eastAsia="仿宋_GB2312"/>
                <w:color w:val="auto"/>
                <w:szCs w:val="21"/>
                <w:highlight w:val="none"/>
              </w:rPr>
              <w:t>水表（初始读数</w:t>
            </w:r>
            <w:r>
              <w:rPr>
                <w:rFonts w:eastAsia="仿宋_GB2312"/>
                <w:color w:val="auto"/>
                <w:szCs w:val="21"/>
                <w:highlight w:val="none"/>
                <w:u w:val="single"/>
              </w:rPr>
              <w:t xml:space="preserve">            </w:t>
            </w:r>
            <w:r>
              <w:rPr>
                <w:rFonts w:hint="eastAsia" w:eastAsia="仿宋_GB2312"/>
                <w:color w:val="auto"/>
                <w:szCs w:val="21"/>
                <w:highlight w:val="none"/>
              </w:rPr>
              <w:t>）</w:t>
            </w:r>
          </w:p>
        </w:tc>
        <w:tc>
          <w:tcPr>
            <w:tcW w:w="2918" w:type="dxa"/>
            <w:tcBorders>
              <w:top w:val="nil"/>
              <w:left w:val="nil"/>
              <w:bottom w:val="single" w:color="000000" w:sz="4" w:space="0"/>
              <w:right w:val="single" w:color="000000" w:sz="4" w:space="0"/>
            </w:tcBorders>
            <w:vAlign w:val="center"/>
          </w:tcPr>
          <w:p w14:paraId="1A689190">
            <w:pPr>
              <w:rPr>
                <w:rFonts w:eastAsia="仿宋_GB2312"/>
                <w:color w:val="auto"/>
                <w:szCs w:val="21"/>
                <w:highlight w:val="none"/>
              </w:rPr>
            </w:pPr>
          </w:p>
        </w:tc>
        <w:tc>
          <w:tcPr>
            <w:tcW w:w="2059" w:type="dxa"/>
            <w:tcBorders>
              <w:top w:val="single" w:color="000000" w:sz="4" w:space="0"/>
              <w:bottom w:val="single" w:color="000000" w:sz="4" w:space="0"/>
              <w:right w:val="single" w:color="000000" w:sz="4" w:space="0"/>
            </w:tcBorders>
            <w:vAlign w:val="center"/>
          </w:tcPr>
          <w:p w14:paraId="6949DB67">
            <w:pPr>
              <w:rPr>
                <w:rFonts w:eastAsia="仿宋_GB2312"/>
                <w:color w:val="auto"/>
                <w:szCs w:val="21"/>
                <w:highlight w:val="none"/>
              </w:rPr>
            </w:pPr>
          </w:p>
        </w:tc>
      </w:tr>
      <w:tr w14:paraId="18841960">
        <w:tblPrEx>
          <w:tblCellMar>
            <w:top w:w="0" w:type="dxa"/>
            <w:left w:w="108" w:type="dxa"/>
            <w:bottom w:w="0" w:type="dxa"/>
            <w:right w:w="108" w:type="dxa"/>
          </w:tblCellMar>
        </w:tblPrEx>
        <w:trPr>
          <w:trHeight w:val="342" w:hRule="atLeast"/>
        </w:trPr>
        <w:tc>
          <w:tcPr>
            <w:tcW w:w="716" w:type="dxa"/>
            <w:vMerge w:val="restart"/>
            <w:tcBorders>
              <w:top w:val="single" w:color="auto" w:sz="4" w:space="0"/>
              <w:left w:val="single" w:color="000000" w:sz="4" w:space="0"/>
              <w:right w:val="single" w:color="000000" w:sz="4" w:space="0"/>
            </w:tcBorders>
            <w:vAlign w:val="center"/>
          </w:tcPr>
          <w:p w14:paraId="78EF5319">
            <w:pPr>
              <w:jc w:val="center"/>
              <w:rPr>
                <w:rFonts w:eastAsia="仿宋_GB2312"/>
                <w:color w:val="auto"/>
                <w:szCs w:val="21"/>
                <w:highlight w:val="none"/>
              </w:rPr>
            </w:pPr>
            <w:r>
              <w:rPr>
                <w:rFonts w:hint="eastAsia" w:eastAsia="仿宋_GB2312"/>
                <w:color w:val="auto"/>
                <w:szCs w:val="21"/>
                <w:highlight w:val="none"/>
              </w:rPr>
              <w:t>消</w:t>
            </w:r>
            <w:r>
              <w:rPr>
                <w:rFonts w:eastAsia="仿宋_GB2312"/>
                <w:color w:val="auto"/>
                <w:szCs w:val="21"/>
                <w:highlight w:val="none"/>
              </w:rPr>
              <w:t xml:space="preserve">    </w:t>
            </w:r>
            <w:r>
              <w:rPr>
                <w:rFonts w:hint="eastAsia" w:eastAsia="仿宋_GB2312"/>
                <w:color w:val="auto"/>
                <w:szCs w:val="21"/>
                <w:highlight w:val="none"/>
              </w:rPr>
              <w:t>防</w:t>
            </w:r>
          </w:p>
        </w:tc>
        <w:tc>
          <w:tcPr>
            <w:tcW w:w="2874" w:type="dxa"/>
            <w:tcBorders>
              <w:top w:val="single" w:color="000000" w:sz="4" w:space="0"/>
              <w:left w:val="nil"/>
              <w:bottom w:val="single" w:color="000000" w:sz="4" w:space="0"/>
              <w:right w:val="single" w:color="000000" w:sz="4" w:space="0"/>
            </w:tcBorders>
            <w:vAlign w:val="center"/>
          </w:tcPr>
          <w:p w14:paraId="0CD23E86">
            <w:pPr>
              <w:rPr>
                <w:rFonts w:eastAsia="仿宋_GB2312"/>
                <w:color w:val="auto"/>
                <w:szCs w:val="21"/>
                <w:highlight w:val="none"/>
              </w:rPr>
            </w:pPr>
            <w:r>
              <w:rPr>
                <w:rFonts w:hint="eastAsia" w:eastAsia="仿宋_GB2312"/>
                <w:color w:val="auto"/>
                <w:szCs w:val="21"/>
                <w:highlight w:val="none"/>
              </w:rPr>
              <w:t>1.烟感、温感、喷淋头</w:t>
            </w:r>
          </w:p>
        </w:tc>
        <w:tc>
          <w:tcPr>
            <w:tcW w:w="2918" w:type="dxa"/>
            <w:tcBorders>
              <w:top w:val="nil"/>
              <w:left w:val="nil"/>
              <w:bottom w:val="single" w:color="000000" w:sz="4" w:space="0"/>
              <w:right w:val="single" w:color="000000" w:sz="4" w:space="0"/>
            </w:tcBorders>
            <w:vAlign w:val="center"/>
          </w:tcPr>
          <w:p w14:paraId="53326CE0">
            <w:pPr>
              <w:jc w:val="center"/>
              <w:rPr>
                <w:rFonts w:eastAsia="仿宋_GB2312"/>
                <w:b/>
                <w:bCs/>
                <w:color w:val="auto"/>
                <w:szCs w:val="21"/>
                <w:highlight w:val="none"/>
              </w:rPr>
            </w:pPr>
          </w:p>
        </w:tc>
        <w:tc>
          <w:tcPr>
            <w:tcW w:w="2059" w:type="dxa"/>
            <w:tcBorders>
              <w:top w:val="single" w:color="000000" w:sz="4" w:space="0"/>
              <w:bottom w:val="single" w:color="000000" w:sz="4" w:space="0"/>
              <w:right w:val="single" w:color="000000" w:sz="4" w:space="0"/>
            </w:tcBorders>
            <w:vAlign w:val="center"/>
          </w:tcPr>
          <w:p w14:paraId="502608E7">
            <w:pPr>
              <w:rPr>
                <w:rFonts w:eastAsia="仿宋_GB2312"/>
                <w:color w:val="auto"/>
                <w:szCs w:val="21"/>
                <w:highlight w:val="none"/>
              </w:rPr>
            </w:pPr>
          </w:p>
        </w:tc>
      </w:tr>
      <w:tr w14:paraId="138C1B20">
        <w:tblPrEx>
          <w:tblCellMar>
            <w:top w:w="0" w:type="dxa"/>
            <w:left w:w="108" w:type="dxa"/>
            <w:bottom w:w="0" w:type="dxa"/>
            <w:right w:w="108" w:type="dxa"/>
          </w:tblCellMar>
        </w:tblPrEx>
        <w:trPr>
          <w:trHeight w:val="330" w:hRule="atLeast"/>
        </w:trPr>
        <w:tc>
          <w:tcPr>
            <w:tcW w:w="716" w:type="dxa"/>
            <w:vMerge w:val="continue"/>
            <w:tcBorders>
              <w:top w:val="nil"/>
              <w:left w:val="single" w:color="000000" w:sz="4" w:space="0"/>
              <w:bottom w:val="single" w:color="auto" w:sz="4" w:space="0"/>
              <w:right w:val="single" w:color="000000" w:sz="4" w:space="0"/>
            </w:tcBorders>
            <w:vAlign w:val="center"/>
          </w:tcPr>
          <w:p w14:paraId="18B1171F">
            <w:pPr>
              <w:rPr>
                <w:rFonts w:eastAsia="仿宋_GB2312"/>
                <w:color w:val="auto"/>
                <w:szCs w:val="21"/>
                <w:highlight w:val="none"/>
              </w:rPr>
            </w:pPr>
          </w:p>
        </w:tc>
        <w:tc>
          <w:tcPr>
            <w:tcW w:w="2874" w:type="dxa"/>
            <w:tcBorders>
              <w:top w:val="single" w:color="000000" w:sz="4" w:space="0"/>
              <w:left w:val="nil"/>
              <w:bottom w:val="nil"/>
              <w:right w:val="nil"/>
            </w:tcBorders>
            <w:vAlign w:val="center"/>
          </w:tcPr>
          <w:p w14:paraId="48FE1D94">
            <w:pPr>
              <w:rPr>
                <w:rFonts w:eastAsia="仿宋_GB2312"/>
                <w:color w:val="auto"/>
                <w:szCs w:val="21"/>
                <w:highlight w:val="none"/>
              </w:rPr>
            </w:pPr>
            <w:r>
              <w:rPr>
                <w:rFonts w:eastAsia="仿宋_GB2312"/>
                <w:color w:val="auto"/>
                <w:szCs w:val="21"/>
                <w:highlight w:val="none"/>
              </w:rPr>
              <w:t>2</w:t>
            </w:r>
            <w:r>
              <w:rPr>
                <w:rFonts w:hint="eastAsia" w:eastAsia="仿宋_GB2312"/>
                <w:color w:val="auto"/>
                <w:szCs w:val="21"/>
                <w:highlight w:val="none"/>
              </w:rPr>
              <w:t>.其它</w:t>
            </w:r>
          </w:p>
        </w:tc>
        <w:tc>
          <w:tcPr>
            <w:tcW w:w="2918" w:type="dxa"/>
            <w:tcBorders>
              <w:top w:val="single" w:color="000000" w:sz="4" w:space="0"/>
              <w:left w:val="single" w:color="000000" w:sz="4" w:space="0"/>
              <w:bottom w:val="single" w:color="000000" w:sz="4" w:space="0"/>
              <w:right w:val="single" w:color="000000" w:sz="4" w:space="0"/>
            </w:tcBorders>
            <w:vAlign w:val="center"/>
          </w:tcPr>
          <w:p w14:paraId="39B030B9">
            <w:pPr>
              <w:jc w:val="center"/>
              <w:rPr>
                <w:rFonts w:eastAsia="仿宋_GB2312"/>
                <w:b/>
                <w:bCs/>
                <w:color w:val="auto"/>
                <w:szCs w:val="21"/>
                <w:highlight w:val="none"/>
              </w:rPr>
            </w:pPr>
          </w:p>
        </w:tc>
        <w:tc>
          <w:tcPr>
            <w:tcW w:w="2059" w:type="dxa"/>
            <w:tcBorders>
              <w:top w:val="single" w:color="000000" w:sz="4" w:space="0"/>
              <w:bottom w:val="single" w:color="000000" w:sz="4" w:space="0"/>
              <w:right w:val="single" w:color="000000" w:sz="4" w:space="0"/>
            </w:tcBorders>
            <w:vAlign w:val="center"/>
          </w:tcPr>
          <w:p w14:paraId="1701CF81">
            <w:pPr>
              <w:rPr>
                <w:rFonts w:eastAsia="仿宋_GB2312"/>
                <w:color w:val="auto"/>
                <w:szCs w:val="21"/>
                <w:highlight w:val="none"/>
              </w:rPr>
            </w:pPr>
          </w:p>
        </w:tc>
      </w:tr>
      <w:tr w14:paraId="029A65B5">
        <w:tblPrEx>
          <w:tblCellMar>
            <w:top w:w="0" w:type="dxa"/>
            <w:left w:w="108" w:type="dxa"/>
            <w:bottom w:w="0" w:type="dxa"/>
            <w:right w:w="108" w:type="dxa"/>
          </w:tblCellMar>
        </w:tblPrEx>
        <w:trPr>
          <w:trHeight w:val="342" w:hRule="atLeast"/>
        </w:trPr>
        <w:tc>
          <w:tcPr>
            <w:tcW w:w="716" w:type="dxa"/>
            <w:vMerge w:val="restart"/>
            <w:tcBorders>
              <w:top w:val="single" w:color="auto" w:sz="4" w:space="0"/>
              <w:left w:val="single" w:color="000000" w:sz="4" w:space="0"/>
              <w:right w:val="single" w:color="000000" w:sz="4" w:space="0"/>
            </w:tcBorders>
            <w:vAlign w:val="center"/>
          </w:tcPr>
          <w:p w14:paraId="1831459D">
            <w:pPr>
              <w:jc w:val="center"/>
              <w:rPr>
                <w:rFonts w:eastAsia="仿宋_GB2312"/>
                <w:color w:val="auto"/>
                <w:szCs w:val="21"/>
                <w:highlight w:val="none"/>
              </w:rPr>
            </w:pPr>
            <w:r>
              <w:rPr>
                <w:rFonts w:hint="eastAsia" w:eastAsia="仿宋_GB2312"/>
                <w:color w:val="auto"/>
                <w:szCs w:val="21"/>
                <w:highlight w:val="none"/>
              </w:rPr>
              <w:t>强</w:t>
            </w:r>
            <w:r>
              <w:rPr>
                <w:rFonts w:eastAsia="仿宋_GB2312"/>
                <w:color w:val="auto"/>
                <w:szCs w:val="21"/>
                <w:highlight w:val="none"/>
              </w:rPr>
              <w:t xml:space="preserve">   </w:t>
            </w:r>
            <w:r>
              <w:rPr>
                <w:rFonts w:hint="eastAsia" w:eastAsia="仿宋_GB2312"/>
                <w:color w:val="auto"/>
                <w:szCs w:val="21"/>
                <w:highlight w:val="none"/>
              </w:rPr>
              <w:t>弱</w:t>
            </w:r>
            <w:r>
              <w:rPr>
                <w:rFonts w:eastAsia="仿宋_GB2312"/>
                <w:color w:val="auto"/>
                <w:szCs w:val="21"/>
                <w:highlight w:val="none"/>
              </w:rPr>
              <w:t xml:space="preserve">   </w:t>
            </w:r>
            <w:r>
              <w:rPr>
                <w:rFonts w:hint="eastAsia" w:eastAsia="仿宋_GB2312"/>
                <w:color w:val="auto"/>
                <w:szCs w:val="21"/>
                <w:highlight w:val="none"/>
              </w:rPr>
              <w:t>电</w:t>
            </w:r>
          </w:p>
        </w:tc>
        <w:tc>
          <w:tcPr>
            <w:tcW w:w="2874" w:type="dxa"/>
            <w:tcBorders>
              <w:top w:val="single" w:color="000000" w:sz="4" w:space="0"/>
              <w:left w:val="nil"/>
              <w:bottom w:val="single" w:color="000000" w:sz="4" w:space="0"/>
              <w:right w:val="single" w:color="000000" w:sz="4" w:space="0"/>
            </w:tcBorders>
            <w:vAlign w:val="center"/>
          </w:tcPr>
          <w:p w14:paraId="2BFBE804">
            <w:pPr>
              <w:rPr>
                <w:rFonts w:eastAsia="仿宋_GB2312"/>
                <w:color w:val="auto"/>
                <w:szCs w:val="21"/>
                <w:highlight w:val="none"/>
              </w:rPr>
            </w:pPr>
            <w:r>
              <w:rPr>
                <w:rFonts w:hint="eastAsia" w:eastAsia="仿宋_GB2312"/>
                <w:color w:val="auto"/>
                <w:szCs w:val="21"/>
                <w:highlight w:val="none"/>
              </w:rPr>
              <w:t>1.电表（初始读数</w:t>
            </w:r>
            <w:r>
              <w:rPr>
                <w:rFonts w:eastAsia="仿宋_GB2312"/>
                <w:color w:val="auto"/>
                <w:szCs w:val="21"/>
                <w:highlight w:val="none"/>
                <w:u w:val="single"/>
              </w:rPr>
              <w:t xml:space="preserve">            </w:t>
            </w:r>
            <w:r>
              <w:rPr>
                <w:rFonts w:eastAsia="仿宋_GB2312"/>
                <w:color w:val="auto"/>
                <w:szCs w:val="21"/>
                <w:highlight w:val="none"/>
              </w:rPr>
              <w:t> </w:t>
            </w:r>
            <w:r>
              <w:rPr>
                <w:rFonts w:hint="eastAsia" w:eastAsia="仿宋_GB2312"/>
                <w:color w:val="auto"/>
                <w:szCs w:val="21"/>
                <w:highlight w:val="none"/>
              </w:rPr>
              <w:t>）</w:t>
            </w:r>
          </w:p>
        </w:tc>
        <w:tc>
          <w:tcPr>
            <w:tcW w:w="2918" w:type="dxa"/>
            <w:tcBorders>
              <w:top w:val="nil"/>
              <w:left w:val="nil"/>
              <w:bottom w:val="single" w:color="000000" w:sz="4" w:space="0"/>
              <w:right w:val="single" w:color="000000" w:sz="4" w:space="0"/>
            </w:tcBorders>
            <w:vAlign w:val="center"/>
          </w:tcPr>
          <w:p w14:paraId="6ECFA026">
            <w:pPr>
              <w:jc w:val="center"/>
              <w:rPr>
                <w:rFonts w:eastAsia="仿宋_GB2312"/>
                <w:b/>
                <w:bCs/>
                <w:color w:val="auto"/>
                <w:szCs w:val="21"/>
                <w:highlight w:val="none"/>
              </w:rPr>
            </w:pPr>
          </w:p>
        </w:tc>
        <w:tc>
          <w:tcPr>
            <w:tcW w:w="2059" w:type="dxa"/>
            <w:tcBorders>
              <w:top w:val="single" w:color="000000" w:sz="4" w:space="0"/>
              <w:bottom w:val="single" w:color="000000" w:sz="4" w:space="0"/>
              <w:right w:val="single" w:color="000000" w:sz="4" w:space="0"/>
            </w:tcBorders>
            <w:vAlign w:val="center"/>
          </w:tcPr>
          <w:p w14:paraId="08F9D4BD">
            <w:pPr>
              <w:rPr>
                <w:rFonts w:eastAsia="仿宋_GB2312"/>
                <w:color w:val="auto"/>
                <w:szCs w:val="21"/>
                <w:highlight w:val="none"/>
              </w:rPr>
            </w:pPr>
          </w:p>
        </w:tc>
      </w:tr>
      <w:tr w14:paraId="582FB7FA">
        <w:tblPrEx>
          <w:tblCellMar>
            <w:top w:w="0" w:type="dxa"/>
            <w:left w:w="108" w:type="dxa"/>
            <w:bottom w:w="0" w:type="dxa"/>
            <w:right w:w="108" w:type="dxa"/>
          </w:tblCellMar>
        </w:tblPrEx>
        <w:trPr>
          <w:trHeight w:val="342" w:hRule="atLeast"/>
        </w:trPr>
        <w:tc>
          <w:tcPr>
            <w:tcW w:w="716" w:type="dxa"/>
            <w:vMerge w:val="continue"/>
            <w:tcBorders>
              <w:top w:val="nil"/>
              <w:left w:val="single" w:color="000000" w:sz="4" w:space="0"/>
              <w:right w:val="single" w:color="000000" w:sz="4" w:space="0"/>
            </w:tcBorders>
            <w:vAlign w:val="center"/>
          </w:tcPr>
          <w:p w14:paraId="003E6EF5">
            <w:pPr>
              <w:rPr>
                <w:rFonts w:eastAsia="仿宋_GB2312"/>
                <w:color w:val="auto"/>
                <w:szCs w:val="21"/>
                <w:highlight w:val="none"/>
              </w:rPr>
            </w:pPr>
          </w:p>
        </w:tc>
        <w:tc>
          <w:tcPr>
            <w:tcW w:w="2874" w:type="dxa"/>
            <w:tcBorders>
              <w:top w:val="nil"/>
              <w:left w:val="nil"/>
              <w:bottom w:val="single" w:color="000000" w:sz="4" w:space="0"/>
              <w:right w:val="single" w:color="000000" w:sz="4" w:space="0"/>
            </w:tcBorders>
            <w:vAlign w:val="center"/>
          </w:tcPr>
          <w:p w14:paraId="2A640DE0">
            <w:pPr>
              <w:rPr>
                <w:rFonts w:eastAsia="仿宋_GB2312"/>
                <w:color w:val="auto"/>
                <w:szCs w:val="21"/>
                <w:highlight w:val="none"/>
              </w:rPr>
            </w:pPr>
            <w:r>
              <w:rPr>
                <w:rFonts w:hint="eastAsia" w:eastAsia="仿宋_GB2312"/>
                <w:color w:val="auto"/>
                <w:szCs w:val="21"/>
                <w:highlight w:val="none"/>
              </w:rPr>
              <w:t>2.配电箱及隔离开关</w:t>
            </w:r>
          </w:p>
        </w:tc>
        <w:tc>
          <w:tcPr>
            <w:tcW w:w="2918" w:type="dxa"/>
            <w:tcBorders>
              <w:top w:val="nil"/>
              <w:left w:val="nil"/>
              <w:bottom w:val="single" w:color="000000" w:sz="4" w:space="0"/>
              <w:right w:val="single" w:color="000000" w:sz="4" w:space="0"/>
            </w:tcBorders>
            <w:vAlign w:val="center"/>
          </w:tcPr>
          <w:p w14:paraId="4986454F">
            <w:pPr>
              <w:jc w:val="center"/>
              <w:rPr>
                <w:rFonts w:eastAsia="仿宋_GB2312"/>
                <w:b/>
                <w:bCs/>
                <w:color w:val="auto"/>
                <w:szCs w:val="21"/>
                <w:highlight w:val="none"/>
              </w:rPr>
            </w:pPr>
          </w:p>
        </w:tc>
        <w:tc>
          <w:tcPr>
            <w:tcW w:w="2059" w:type="dxa"/>
            <w:tcBorders>
              <w:top w:val="single" w:color="000000" w:sz="4" w:space="0"/>
              <w:bottom w:val="single" w:color="000000" w:sz="4" w:space="0"/>
              <w:right w:val="single" w:color="000000" w:sz="4" w:space="0"/>
            </w:tcBorders>
            <w:vAlign w:val="center"/>
          </w:tcPr>
          <w:p w14:paraId="7E0A4033">
            <w:pPr>
              <w:rPr>
                <w:rFonts w:eastAsia="仿宋_GB2312"/>
                <w:color w:val="auto"/>
                <w:szCs w:val="21"/>
                <w:highlight w:val="none"/>
              </w:rPr>
            </w:pPr>
          </w:p>
        </w:tc>
      </w:tr>
      <w:tr w14:paraId="53DE91FC">
        <w:tblPrEx>
          <w:tblCellMar>
            <w:top w:w="0" w:type="dxa"/>
            <w:left w:w="108" w:type="dxa"/>
            <w:bottom w:w="0" w:type="dxa"/>
            <w:right w:w="108" w:type="dxa"/>
          </w:tblCellMar>
        </w:tblPrEx>
        <w:trPr>
          <w:trHeight w:val="342" w:hRule="atLeast"/>
        </w:trPr>
        <w:tc>
          <w:tcPr>
            <w:tcW w:w="716" w:type="dxa"/>
            <w:vMerge w:val="continue"/>
            <w:tcBorders>
              <w:top w:val="nil"/>
              <w:left w:val="single" w:color="000000" w:sz="4" w:space="0"/>
              <w:right w:val="single" w:color="000000" w:sz="4" w:space="0"/>
            </w:tcBorders>
            <w:vAlign w:val="center"/>
          </w:tcPr>
          <w:p w14:paraId="750BB10B">
            <w:pPr>
              <w:rPr>
                <w:rFonts w:eastAsia="仿宋_GB2312"/>
                <w:color w:val="auto"/>
                <w:szCs w:val="21"/>
                <w:highlight w:val="none"/>
              </w:rPr>
            </w:pPr>
          </w:p>
        </w:tc>
        <w:tc>
          <w:tcPr>
            <w:tcW w:w="2874" w:type="dxa"/>
            <w:tcBorders>
              <w:top w:val="nil"/>
              <w:left w:val="nil"/>
              <w:bottom w:val="single" w:color="000000" w:sz="4" w:space="0"/>
              <w:right w:val="single" w:color="000000" w:sz="4" w:space="0"/>
            </w:tcBorders>
            <w:vAlign w:val="center"/>
          </w:tcPr>
          <w:p w14:paraId="62CDE49F">
            <w:pPr>
              <w:rPr>
                <w:rFonts w:eastAsia="仿宋_GB2312"/>
                <w:color w:val="auto"/>
                <w:szCs w:val="21"/>
                <w:highlight w:val="none"/>
              </w:rPr>
            </w:pPr>
            <w:r>
              <w:rPr>
                <w:rFonts w:hint="eastAsia" w:eastAsia="仿宋_GB2312"/>
                <w:color w:val="auto"/>
                <w:szCs w:val="21"/>
                <w:highlight w:val="none"/>
              </w:rPr>
              <w:t>3.地插</w:t>
            </w:r>
          </w:p>
        </w:tc>
        <w:tc>
          <w:tcPr>
            <w:tcW w:w="2918" w:type="dxa"/>
            <w:tcBorders>
              <w:top w:val="nil"/>
              <w:left w:val="nil"/>
              <w:bottom w:val="single" w:color="000000" w:sz="4" w:space="0"/>
              <w:right w:val="single" w:color="000000" w:sz="4" w:space="0"/>
            </w:tcBorders>
            <w:vAlign w:val="center"/>
          </w:tcPr>
          <w:p w14:paraId="64C719E3">
            <w:pPr>
              <w:jc w:val="center"/>
              <w:rPr>
                <w:rFonts w:eastAsia="仿宋_GB2312"/>
                <w:b/>
                <w:bCs/>
                <w:color w:val="auto"/>
                <w:szCs w:val="21"/>
                <w:highlight w:val="none"/>
              </w:rPr>
            </w:pPr>
          </w:p>
        </w:tc>
        <w:tc>
          <w:tcPr>
            <w:tcW w:w="2059" w:type="dxa"/>
            <w:tcBorders>
              <w:top w:val="single" w:color="000000" w:sz="4" w:space="0"/>
              <w:bottom w:val="single" w:color="000000" w:sz="4" w:space="0"/>
              <w:right w:val="single" w:color="000000" w:sz="4" w:space="0"/>
            </w:tcBorders>
            <w:vAlign w:val="center"/>
          </w:tcPr>
          <w:p w14:paraId="41CBA9D1">
            <w:pPr>
              <w:rPr>
                <w:rFonts w:eastAsia="仿宋_GB2312"/>
                <w:color w:val="auto"/>
                <w:szCs w:val="21"/>
                <w:highlight w:val="none"/>
              </w:rPr>
            </w:pPr>
          </w:p>
        </w:tc>
      </w:tr>
      <w:tr w14:paraId="58CFBD25">
        <w:tblPrEx>
          <w:tblCellMar>
            <w:top w:w="0" w:type="dxa"/>
            <w:left w:w="108" w:type="dxa"/>
            <w:bottom w:w="0" w:type="dxa"/>
            <w:right w:w="108" w:type="dxa"/>
          </w:tblCellMar>
        </w:tblPrEx>
        <w:trPr>
          <w:trHeight w:val="315" w:hRule="atLeast"/>
        </w:trPr>
        <w:tc>
          <w:tcPr>
            <w:tcW w:w="716" w:type="dxa"/>
            <w:vMerge w:val="continue"/>
            <w:tcBorders>
              <w:top w:val="nil"/>
              <w:left w:val="single" w:color="000000" w:sz="4" w:space="0"/>
              <w:bottom w:val="single" w:color="auto" w:sz="4" w:space="0"/>
              <w:right w:val="single" w:color="000000" w:sz="4" w:space="0"/>
            </w:tcBorders>
            <w:vAlign w:val="center"/>
          </w:tcPr>
          <w:p w14:paraId="4BDE0F21">
            <w:pPr>
              <w:rPr>
                <w:rFonts w:eastAsia="仿宋_GB2312"/>
                <w:color w:val="auto"/>
                <w:szCs w:val="21"/>
                <w:highlight w:val="none"/>
              </w:rPr>
            </w:pPr>
          </w:p>
        </w:tc>
        <w:tc>
          <w:tcPr>
            <w:tcW w:w="2874" w:type="dxa"/>
            <w:tcBorders>
              <w:top w:val="single" w:color="000000" w:sz="4" w:space="0"/>
              <w:left w:val="nil"/>
              <w:bottom w:val="single" w:color="000000" w:sz="4" w:space="0"/>
              <w:right w:val="nil"/>
            </w:tcBorders>
            <w:vAlign w:val="center"/>
          </w:tcPr>
          <w:p w14:paraId="7DCFF204">
            <w:pPr>
              <w:rPr>
                <w:rFonts w:eastAsia="仿宋_GB2312"/>
                <w:color w:val="auto"/>
                <w:szCs w:val="21"/>
                <w:highlight w:val="none"/>
              </w:rPr>
            </w:pPr>
            <w:r>
              <w:rPr>
                <w:rFonts w:eastAsia="仿宋_GB2312"/>
                <w:color w:val="auto"/>
                <w:szCs w:val="21"/>
                <w:highlight w:val="none"/>
              </w:rPr>
              <w:t>4</w:t>
            </w:r>
            <w:r>
              <w:rPr>
                <w:rFonts w:hint="eastAsia" w:eastAsia="仿宋_GB2312"/>
                <w:color w:val="auto"/>
                <w:szCs w:val="21"/>
                <w:highlight w:val="none"/>
              </w:rPr>
              <w:t>.其它</w:t>
            </w:r>
          </w:p>
        </w:tc>
        <w:tc>
          <w:tcPr>
            <w:tcW w:w="2918" w:type="dxa"/>
            <w:tcBorders>
              <w:top w:val="single" w:color="000000" w:sz="4" w:space="0"/>
              <w:left w:val="single" w:color="000000" w:sz="4" w:space="0"/>
              <w:bottom w:val="single" w:color="000000" w:sz="4" w:space="0"/>
              <w:right w:val="single" w:color="000000" w:sz="4" w:space="0"/>
            </w:tcBorders>
            <w:vAlign w:val="center"/>
          </w:tcPr>
          <w:p w14:paraId="401F6E4A">
            <w:pPr>
              <w:jc w:val="center"/>
              <w:rPr>
                <w:rFonts w:eastAsia="仿宋_GB2312"/>
                <w:b/>
                <w:bCs/>
                <w:color w:val="auto"/>
                <w:szCs w:val="21"/>
                <w:highlight w:val="none"/>
              </w:rPr>
            </w:pPr>
          </w:p>
        </w:tc>
        <w:tc>
          <w:tcPr>
            <w:tcW w:w="2059" w:type="dxa"/>
            <w:tcBorders>
              <w:top w:val="single" w:color="000000" w:sz="4" w:space="0"/>
              <w:bottom w:val="single" w:color="000000" w:sz="4" w:space="0"/>
              <w:right w:val="single" w:color="000000" w:sz="4" w:space="0"/>
            </w:tcBorders>
            <w:vAlign w:val="center"/>
          </w:tcPr>
          <w:p w14:paraId="7E9A4A4C">
            <w:pPr>
              <w:rPr>
                <w:rFonts w:eastAsia="仿宋_GB2312"/>
                <w:color w:val="auto"/>
                <w:szCs w:val="21"/>
                <w:highlight w:val="none"/>
              </w:rPr>
            </w:pPr>
          </w:p>
        </w:tc>
      </w:tr>
      <w:tr w14:paraId="3482D122">
        <w:tblPrEx>
          <w:tblCellMar>
            <w:top w:w="0" w:type="dxa"/>
            <w:left w:w="108" w:type="dxa"/>
            <w:bottom w:w="0" w:type="dxa"/>
            <w:right w:w="108" w:type="dxa"/>
          </w:tblCellMar>
        </w:tblPrEx>
        <w:trPr>
          <w:trHeight w:val="416" w:hRule="atLeast"/>
        </w:trPr>
        <w:tc>
          <w:tcPr>
            <w:tcW w:w="716" w:type="dxa"/>
            <w:vMerge w:val="restart"/>
            <w:tcBorders>
              <w:top w:val="single" w:color="auto" w:sz="4" w:space="0"/>
              <w:left w:val="single" w:color="000000" w:sz="4" w:space="0"/>
              <w:bottom w:val="single" w:color="000000" w:sz="4" w:space="0"/>
              <w:right w:val="single" w:color="000000" w:sz="4" w:space="0"/>
            </w:tcBorders>
            <w:vAlign w:val="center"/>
          </w:tcPr>
          <w:p w14:paraId="35407D78">
            <w:pPr>
              <w:jc w:val="center"/>
              <w:rPr>
                <w:rFonts w:eastAsia="仿宋_GB2312"/>
                <w:color w:val="auto"/>
                <w:szCs w:val="21"/>
                <w:highlight w:val="none"/>
              </w:rPr>
            </w:pPr>
            <w:r>
              <w:rPr>
                <w:rFonts w:hint="eastAsia" w:eastAsia="仿宋_GB2312"/>
                <w:color w:val="auto"/>
                <w:szCs w:val="21"/>
                <w:highlight w:val="none"/>
              </w:rPr>
              <w:t>空</w:t>
            </w:r>
            <w:r>
              <w:rPr>
                <w:rFonts w:eastAsia="仿宋_GB2312"/>
                <w:color w:val="auto"/>
                <w:szCs w:val="21"/>
                <w:highlight w:val="none"/>
              </w:rPr>
              <w:t xml:space="preserve">    </w:t>
            </w:r>
            <w:r>
              <w:rPr>
                <w:rFonts w:hint="eastAsia" w:eastAsia="仿宋_GB2312"/>
                <w:color w:val="auto"/>
                <w:szCs w:val="21"/>
                <w:highlight w:val="none"/>
              </w:rPr>
              <w:t>调</w:t>
            </w:r>
          </w:p>
        </w:tc>
        <w:tc>
          <w:tcPr>
            <w:tcW w:w="2874" w:type="dxa"/>
            <w:tcBorders>
              <w:top w:val="single" w:color="000000" w:sz="4" w:space="0"/>
              <w:left w:val="nil"/>
              <w:bottom w:val="single" w:color="000000" w:sz="4" w:space="0"/>
              <w:right w:val="single" w:color="000000" w:sz="4" w:space="0"/>
            </w:tcBorders>
            <w:vAlign w:val="center"/>
          </w:tcPr>
          <w:p w14:paraId="3326037B">
            <w:pPr>
              <w:rPr>
                <w:rFonts w:eastAsia="仿宋_GB2312"/>
                <w:color w:val="auto"/>
                <w:szCs w:val="21"/>
                <w:highlight w:val="none"/>
              </w:rPr>
            </w:pPr>
            <w:r>
              <w:rPr>
                <w:rFonts w:hint="eastAsia" w:eastAsia="仿宋_GB2312"/>
                <w:color w:val="auto"/>
                <w:szCs w:val="21"/>
                <w:highlight w:val="none"/>
              </w:rPr>
              <w:t>1.空调</w:t>
            </w:r>
          </w:p>
        </w:tc>
        <w:tc>
          <w:tcPr>
            <w:tcW w:w="2918" w:type="dxa"/>
            <w:tcBorders>
              <w:top w:val="single" w:color="000000" w:sz="4" w:space="0"/>
              <w:left w:val="nil"/>
              <w:bottom w:val="single" w:color="000000" w:sz="4" w:space="0"/>
              <w:right w:val="single" w:color="000000" w:sz="4" w:space="0"/>
            </w:tcBorders>
            <w:vAlign w:val="center"/>
          </w:tcPr>
          <w:p w14:paraId="6A4B8C62">
            <w:pPr>
              <w:jc w:val="center"/>
              <w:rPr>
                <w:rFonts w:eastAsia="仿宋_GB2312"/>
                <w:b/>
                <w:bCs/>
                <w:color w:val="auto"/>
                <w:szCs w:val="21"/>
                <w:highlight w:val="none"/>
              </w:rPr>
            </w:pPr>
          </w:p>
        </w:tc>
        <w:tc>
          <w:tcPr>
            <w:tcW w:w="2059" w:type="dxa"/>
            <w:tcBorders>
              <w:top w:val="single" w:color="000000" w:sz="4" w:space="0"/>
              <w:left w:val="nil"/>
              <w:bottom w:val="single" w:color="000000" w:sz="4" w:space="0"/>
              <w:right w:val="single" w:color="000000" w:sz="4" w:space="0"/>
            </w:tcBorders>
            <w:vAlign w:val="center"/>
          </w:tcPr>
          <w:p w14:paraId="5ED7F031">
            <w:pPr>
              <w:rPr>
                <w:rFonts w:eastAsia="仿宋_GB2312"/>
                <w:color w:val="auto"/>
                <w:szCs w:val="21"/>
                <w:highlight w:val="none"/>
              </w:rPr>
            </w:pPr>
          </w:p>
        </w:tc>
      </w:tr>
      <w:tr w14:paraId="548C8A00">
        <w:tblPrEx>
          <w:tblCellMar>
            <w:top w:w="0" w:type="dxa"/>
            <w:left w:w="108" w:type="dxa"/>
            <w:bottom w:w="0" w:type="dxa"/>
            <w:right w:w="108" w:type="dxa"/>
          </w:tblCellMar>
        </w:tblPrEx>
        <w:trPr>
          <w:trHeight w:val="422" w:hRule="atLeast"/>
        </w:trPr>
        <w:tc>
          <w:tcPr>
            <w:tcW w:w="716" w:type="dxa"/>
            <w:vMerge w:val="continue"/>
            <w:tcBorders>
              <w:top w:val="nil"/>
              <w:left w:val="single" w:color="000000" w:sz="4" w:space="0"/>
              <w:bottom w:val="single" w:color="000000" w:sz="4" w:space="0"/>
              <w:right w:val="single" w:color="000000" w:sz="4" w:space="0"/>
            </w:tcBorders>
            <w:vAlign w:val="center"/>
          </w:tcPr>
          <w:p w14:paraId="1D3EBAB8">
            <w:pPr>
              <w:rPr>
                <w:rFonts w:eastAsia="仿宋_GB2312"/>
                <w:color w:val="auto"/>
                <w:szCs w:val="21"/>
                <w:highlight w:val="none"/>
              </w:rPr>
            </w:pPr>
          </w:p>
        </w:tc>
        <w:tc>
          <w:tcPr>
            <w:tcW w:w="2874" w:type="dxa"/>
            <w:tcBorders>
              <w:top w:val="single" w:color="000000" w:sz="4" w:space="0"/>
              <w:left w:val="nil"/>
              <w:bottom w:val="single" w:color="000000" w:sz="4" w:space="0"/>
              <w:right w:val="single" w:color="000000" w:sz="4" w:space="0"/>
            </w:tcBorders>
            <w:vAlign w:val="center"/>
          </w:tcPr>
          <w:p w14:paraId="36154B44">
            <w:pPr>
              <w:rPr>
                <w:rFonts w:eastAsia="仿宋_GB2312"/>
                <w:color w:val="auto"/>
                <w:szCs w:val="21"/>
                <w:highlight w:val="none"/>
              </w:rPr>
            </w:pPr>
            <w:r>
              <w:rPr>
                <w:rFonts w:eastAsia="仿宋_GB2312"/>
                <w:color w:val="auto"/>
                <w:szCs w:val="21"/>
                <w:highlight w:val="none"/>
              </w:rPr>
              <w:t>2</w:t>
            </w:r>
            <w:r>
              <w:rPr>
                <w:rFonts w:hint="eastAsia" w:eastAsia="仿宋_GB2312"/>
                <w:color w:val="auto"/>
                <w:szCs w:val="21"/>
                <w:highlight w:val="none"/>
              </w:rPr>
              <w:t>.消防排烟预留接口</w:t>
            </w:r>
          </w:p>
        </w:tc>
        <w:tc>
          <w:tcPr>
            <w:tcW w:w="2918" w:type="dxa"/>
            <w:tcBorders>
              <w:top w:val="single" w:color="000000" w:sz="4" w:space="0"/>
              <w:left w:val="nil"/>
              <w:bottom w:val="single" w:color="000000" w:sz="4" w:space="0"/>
              <w:right w:val="single" w:color="000000" w:sz="4" w:space="0"/>
            </w:tcBorders>
            <w:vAlign w:val="center"/>
          </w:tcPr>
          <w:p w14:paraId="3CC5DDD4">
            <w:pPr>
              <w:jc w:val="center"/>
              <w:rPr>
                <w:rFonts w:eastAsia="仿宋_GB2312"/>
                <w:b/>
                <w:bCs/>
                <w:color w:val="auto"/>
                <w:szCs w:val="21"/>
                <w:highlight w:val="none"/>
              </w:rPr>
            </w:pPr>
          </w:p>
        </w:tc>
        <w:tc>
          <w:tcPr>
            <w:tcW w:w="2059" w:type="dxa"/>
            <w:tcBorders>
              <w:top w:val="single" w:color="000000" w:sz="4" w:space="0"/>
              <w:left w:val="nil"/>
              <w:bottom w:val="single" w:color="000000" w:sz="4" w:space="0"/>
              <w:right w:val="single" w:color="000000" w:sz="4" w:space="0"/>
            </w:tcBorders>
            <w:vAlign w:val="center"/>
          </w:tcPr>
          <w:p w14:paraId="6878F6F2">
            <w:pPr>
              <w:rPr>
                <w:rFonts w:eastAsia="仿宋_GB2312"/>
                <w:color w:val="auto"/>
                <w:szCs w:val="21"/>
                <w:highlight w:val="none"/>
              </w:rPr>
            </w:pPr>
          </w:p>
        </w:tc>
      </w:tr>
      <w:tr w14:paraId="42F34497">
        <w:tblPrEx>
          <w:tblCellMar>
            <w:top w:w="0" w:type="dxa"/>
            <w:left w:w="108" w:type="dxa"/>
            <w:bottom w:w="0" w:type="dxa"/>
            <w:right w:w="108" w:type="dxa"/>
          </w:tblCellMar>
        </w:tblPrEx>
        <w:trPr>
          <w:trHeight w:val="413" w:hRule="atLeast"/>
        </w:trPr>
        <w:tc>
          <w:tcPr>
            <w:tcW w:w="716" w:type="dxa"/>
            <w:vMerge w:val="continue"/>
            <w:tcBorders>
              <w:top w:val="nil"/>
              <w:left w:val="single" w:color="000000" w:sz="4" w:space="0"/>
              <w:bottom w:val="single" w:color="000000" w:sz="4" w:space="0"/>
              <w:right w:val="single" w:color="000000" w:sz="4" w:space="0"/>
            </w:tcBorders>
            <w:vAlign w:val="center"/>
          </w:tcPr>
          <w:p w14:paraId="07FBE911">
            <w:pPr>
              <w:rPr>
                <w:rFonts w:eastAsia="仿宋_GB2312"/>
                <w:color w:val="auto"/>
                <w:szCs w:val="21"/>
                <w:highlight w:val="none"/>
              </w:rPr>
            </w:pPr>
          </w:p>
        </w:tc>
        <w:tc>
          <w:tcPr>
            <w:tcW w:w="2874" w:type="dxa"/>
            <w:tcBorders>
              <w:top w:val="single" w:color="000000" w:sz="4" w:space="0"/>
              <w:left w:val="nil"/>
              <w:bottom w:val="single" w:color="000000" w:sz="4" w:space="0"/>
              <w:right w:val="single" w:color="000000" w:sz="4" w:space="0"/>
            </w:tcBorders>
            <w:vAlign w:val="center"/>
          </w:tcPr>
          <w:p w14:paraId="6AC6EE8F">
            <w:pPr>
              <w:rPr>
                <w:rFonts w:eastAsia="仿宋_GB2312"/>
                <w:color w:val="auto"/>
                <w:szCs w:val="21"/>
                <w:highlight w:val="none"/>
              </w:rPr>
            </w:pPr>
            <w:r>
              <w:rPr>
                <w:rFonts w:eastAsia="仿宋_GB2312"/>
                <w:color w:val="auto"/>
                <w:szCs w:val="21"/>
                <w:highlight w:val="none"/>
              </w:rPr>
              <w:t>3</w:t>
            </w:r>
            <w:r>
              <w:rPr>
                <w:rFonts w:hint="eastAsia" w:eastAsia="仿宋_GB2312"/>
                <w:color w:val="auto"/>
                <w:szCs w:val="21"/>
                <w:highlight w:val="none"/>
              </w:rPr>
              <w:t>.其它</w:t>
            </w:r>
          </w:p>
        </w:tc>
        <w:tc>
          <w:tcPr>
            <w:tcW w:w="2918" w:type="dxa"/>
            <w:tcBorders>
              <w:top w:val="single" w:color="000000" w:sz="4" w:space="0"/>
              <w:left w:val="nil"/>
              <w:bottom w:val="single" w:color="000000" w:sz="4" w:space="0"/>
              <w:right w:val="single" w:color="000000" w:sz="4" w:space="0"/>
            </w:tcBorders>
            <w:vAlign w:val="center"/>
          </w:tcPr>
          <w:p w14:paraId="0BF3F262">
            <w:pPr>
              <w:jc w:val="center"/>
              <w:rPr>
                <w:rFonts w:eastAsia="仿宋_GB2312"/>
                <w:b/>
                <w:bCs/>
                <w:color w:val="auto"/>
                <w:szCs w:val="21"/>
                <w:highlight w:val="none"/>
              </w:rPr>
            </w:pPr>
          </w:p>
        </w:tc>
        <w:tc>
          <w:tcPr>
            <w:tcW w:w="2059" w:type="dxa"/>
            <w:tcBorders>
              <w:top w:val="single" w:color="000000" w:sz="4" w:space="0"/>
              <w:left w:val="nil"/>
              <w:bottom w:val="single" w:color="000000" w:sz="4" w:space="0"/>
              <w:right w:val="single" w:color="000000" w:sz="4" w:space="0"/>
            </w:tcBorders>
            <w:vAlign w:val="center"/>
          </w:tcPr>
          <w:p w14:paraId="320F0681">
            <w:pPr>
              <w:rPr>
                <w:rFonts w:eastAsia="仿宋_GB2312"/>
                <w:color w:val="auto"/>
                <w:szCs w:val="21"/>
                <w:highlight w:val="none"/>
              </w:rPr>
            </w:pPr>
          </w:p>
        </w:tc>
      </w:tr>
    </w:tbl>
    <w:p w14:paraId="224B2072">
      <w:pPr>
        <w:rPr>
          <w:rFonts w:eastAsia="仿宋_GB2312"/>
          <w:b/>
          <w:bCs/>
          <w:color w:val="auto"/>
          <w:szCs w:val="21"/>
          <w:highlight w:val="none"/>
        </w:rPr>
      </w:pPr>
      <w:r>
        <w:rPr>
          <w:rFonts w:eastAsia="仿宋_GB2312"/>
          <w:b/>
          <w:bCs/>
          <w:color w:val="auto"/>
          <w:szCs w:val="21"/>
          <w:highlight w:val="none"/>
        </w:rPr>
        <w:t xml:space="preserve"> </w:t>
      </w:r>
    </w:p>
    <w:p w14:paraId="448F61CE">
      <w:pPr>
        <w:rPr>
          <w:rFonts w:eastAsia="仿宋_GB2312"/>
          <w:color w:val="auto"/>
          <w:szCs w:val="21"/>
          <w:highlight w:val="none"/>
        </w:rPr>
      </w:pPr>
      <w:r>
        <w:rPr>
          <w:rFonts w:hint="eastAsia" w:eastAsia="仿宋_GB2312"/>
          <w:b/>
          <w:bCs/>
          <w:color w:val="auto"/>
          <w:szCs w:val="21"/>
          <w:highlight w:val="none"/>
        </w:rPr>
        <w:t>备注声明</w:t>
      </w:r>
      <w:r>
        <w:rPr>
          <w:rFonts w:hint="eastAsia" w:eastAsia="仿宋_GB2312"/>
          <w:color w:val="auto"/>
          <w:szCs w:val="21"/>
          <w:highlight w:val="none"/>
        </w:rPr>
        <w:t>：本人/本公司在</w:t>
      </w:r>
      <w:r>
        <w:rPr>
          <w:rFonts w:hint="eastAsia" w:eastAsia="仿宋_GB2312"/>
          <w:b/>
          <w:bCs/>
          <w:color w:val="auto"/>
          <w:szCs w:val="21"/>
          <w:highlight w:val="none"/>
        </w:rPr>
        <w:t>资产</w:t>
      </w:r>
      <w:r>
        <w:rPr>
          <w:rFonts w:hint="eastAsia" w:eastAsia="仿宋_GB2312"/>
          <w:b/>
          <w:bCs/>
          <w:color w:val="auto"/>
          <w:szCs w:val="21"/>
          <w:highlight w:val="none"/>
          <w:lang w:val="en-US" w:eastAsia="zh-CN"/>
        </w:rPr>
        <w:t>集团</w:t>
      </w:r>
      <w:r>
        <w:rPr>
          <w:rFonts w:hint="eastAsia" w:eastAsia="仿宋_GB2312"/>
          <w:color w:val="auto"/>
          <w:szCs w:val="21"/>
          <w:highlight w:val="none"/>
        </w:rPr>
        <w:t>同意交付物业的情况下，证明已于_____年</w:t>
      </w:r>
      <w:r>
        <w:rPr>
          <w:rFonts w:eastAsia="仿宋_GB2312"/>
          <w:color w:val="auto"/>
          <w:szCs w:val="21"/>
          <w:highlight w:val="none"/>
          <w:u w:val="single"/>
        </w:rPr>
        <w:t xml:space="preserve">      </w:t>
      </w:r>
      <w:r>
        <w:rPr>
          <w:rFonts w:hint="eastAsia" w:eastAsia="仿宋_GB2312"/>
          <w:color w:val="auto"/>
          <w:szCs w:val="21"/>
          <w:highlight w:val="none"/>
        </w:rPr>
        <w:t>月</w:t>
      </w:r>
      <w:r>
        <w:rPr>
          <w:rFonts w:eastAsia="仿宋_GB2312"/>
          <w:color w:val="auto"/>
          <w:szCs w:val="21"/>
          <w:highlight w:val="none"/>
          <w:u w:val="single"/>
        </w:rPr>
        <w:t xml:space="preserve">     </w:t>
      </w:r>
      <w:r>
        <w:rPr>
          <w:rFonts w:hint="eastAsia" w:eastAsia="仿宋_GB2312"/>
          <w:color w:val="auto"/>
          <w:szCs w:val="21"/>
          <w:highlight w:val="none"/>
        </w:rPr>
        <w:t>日收到上述物业内上表所列之各项设施设备及物品，并确认完好。本人/本公司同意自即日起接受该物业，同时确认资产</w:t>
      </w:r>
      <w:r>
        <w:rPr>
          <w:rFonts w:hint="eastAsia" w:eastAsia="仿宋_GB2312"/>
          <w:color w:val="auto"/>
          <w:szCs w:val="21"/>
          <w:highlight w:val="none"/>
          <w:lang w:val="en-US" w:eastAsia="zh-CN"/>
        </w:rPr>
        <w:t>集团</w:t>
      </w:r>
      <w:r>
        <w:rPr>
          <w:rFonts w:hint="eastAsia" w:eastAsia="仿宋_GB2312"/>
          <w:color w:val="auto"/>
          <w:szCs w:val="21"/>
          <w:highlight w:val="none"/>
        </w:rPr>
        <w:t>已按照合同约定履行交付该单元义务，不存在任何违约责任。</w:t>
      </w:r>
    </w:p>
    <w:p w14:paraId="3184A35C">
      <w:pPr>
        <w:ind w:left="440" w:hanging="440"/>
        <w:rPr>
          <w:rFonts w:eastAsia="仿宋_GB2312"/>
          <w:color w:val="auto"/>
          <w:szCs w:val="21"/>
          <w:highlight w:val="none"/>
        </w:rPr>
      </w:pPr>
      <w:r>
        <w:rPr>
          <w:rFonts w:eastAsia="仿宋_GB2312"/>
          <w:color w:val="auto"/>
          <w:szCs w:val="21"/>
          <w:highlight w:val="none"/>
        </w:rPr>
        <w:t xml:space="preserve"> </w:t>
      </w:r>
    </w:p>
    <w:p w14:paraId="25735D40">
      <w:pPr>
        <w:spacing w:line="480" w:lineRule="auto"/>
        <w:rPr>
          <w:rFonts w:eastAsia="仿宋_GB2312"/>
          <w:b/>
          <w:bCs/>
          <w:color w:val="auto"/>
          <w:szCs w:val="21"/>
          <w:highlight w:val="none"/>
          <w:u w:val="single"/>
        </w:rPr>
      </w:pPr>
      <w:r>
        <w:rPr>
          <w:rFonts w:hint="eastAsia" w:eastAsia="仿宋_GB2312"/>
          <w:b/>
          <w:bCs/>
          <w:color w:val="auto"/>
          <w:szCs w:val="21"/>
          <w:highlight w:val="none"/>
        </w:rPr>
        <w:t>承租单位签署：</w:t>
      </w:r>
      <w:r>
        <w:rPr>
          <w:rFonts w:eastAsia="仿宋_GB2312"/>
          <w:b/>
          <w:bCs/>
          <w:color w:val="auto"/>
          <w:szCs w:val="21"/>
          <w:highlight w:val="none"/>
          <w:u w:val="single"/>
        </w:rPr>
        <w:t xml:space="preserve">                  </w:t>
      </w:r>
      <w:r>
        <w:rPr>
          <w:rFonts w:hint="eastAsia" w:eastAsia="仿宋_GB2312"/>
          <w:b/>
          <w:bCs/>
          <w:color w:val="auto"/>
          <w:szCs w:val="21"/>
          <w:highlight w:val="none"/>
        </w:rPr>
        <w:t xml:space="preserve">     物业接收日期：</w:t>
      </w:r>
      <w:r>
        <w:rPr>
          <w:rFonts w:eastAsia="仿宋_GB2312"/>
          <w:b/>
          <w:bCs/>
          <w:color w:val="auto"/>
          <w:szCs w:val="21"/>
          <w:highlight w:val="none"/>
          <w:u w:val="single"/>
        </w:rPr>
        <w:t xml:space="preserve">               </w:t>
      </w:r>
      <w:r>
        <w:rPr>
          <w:rFonts w:hint="eastAsia" w:eastAsia="仿宋_GB2312"/>
          <w:b/>
          <w:bCs/>
          <w:color w:val="auto"/>
          <w:szCs w:val="21"/>
          <w:highlight w:val="none"/>
        </w:rPr>
        <w:t>（</w:t>
      </w:r>
      <w:r>
        <w:rPr>
          <w:rFonts w:hint="eastAsia" w:eastAsia="仿宋_GB2312"/>
          <w:b/>
          <w:bCs/>
          <w:color w:val="auto"/>
          <w:szCs w:val="21"/>
          <w:highlight w:val="none"/>
          <w:lang w:val="en-US" w:eastAsia="zh-CN"/>
        </w:rPr>
        <w:t>签</w:t>
      </w:r>
      <w:r>
        <w:rPr>
          <w:rFonts w:hint="eastAsia" w:ascii="仿宋" w:hAnsi="仿宋" w:eastAsia="仿宋" w:cs="仿宋"/>
          <w:b/>
          <w:bCs/>
          <w:color w:val="auto"/>
          <w:szCs w:val="21"/>
          <w:highlight w:val="none"/>
          <w:lang w:val="en-US" w:eastAsia="zh-CN"/>
        </w:rPr>
        <w:t>字或</w:t>
      </w:r>
      <w:r>
        <w:rPr>
          <w:rFonts w:hint="eastAsia" w:eastAsia="仿宋_GB2312"/>
          <w:b/>
          <w:bCs/>
          <w:color w:val="auto"/>
          <w:szCs w:val="21"/>
          <w:highlight w:val="none"/>
        </w:rPr>
        <w:t>盖章）</w:t>
      </w:r>
    </w:p>
    <w:p w14:paraId="2119AA7E">
      <w:pPr>
        <w:rPr>
          <w:rFonts w:eastAsia="仿宋_GB2312"/>
          <w:b/>
          <w:bCs/>
          <w:color w:val="auto"/>
          <w:szCs w:val="21"/>
          <w:highlight w:val="none"/>
        </w:rPr>
      </w:pPr>
    </w:p>
    <w:p w14:paraId="0A1A0735">
      <w:pPr>
        <w:rPr>
          <w:rFonts w:eastAsia="仿宋_GB2312"/>
          <w:b/>
          <w:bCs/>
          <w:color w:val="auto"/>
          <w:szCs w:val="21"/>
          <w:highlight w:val="none"/>
        </w:rPr>
      </w:pPr>
    </w:p>
    <w:p w14:paraId="6CAC4A09">
      <w:pPr>
        <w:rPr>
          <w:rFonts w:eastAsia="仿宋_GB2312"/>
          <w:color w:val="auto"/>
          <w:szCs w:val="21"/>
          <w:highlight w:val="none"/>
        </w:rPr>
      </w:pPr>
      <w:r>
        <w:rPr>
          <w:rFonts w:hint="eastAsia" w:eastAsia="仿宋_GB2312"/>
          <w:b/>
          <w:bCs/>
          <w:color w:val="auto"/>
          <w:szCs w:val="21"/>
          <w:highlight w:val="none"/>
        </w:rPr>
        <w:t xml:space="preserve">移交单位： </w:t>
      </w:r>
      <w:r>
        <w:rPr>
          <w:rFonts w:eastAsia="仿宋_GB2312"/>
          <w:b/>
          <w:bCs/>
          <w:color w:val="auto"/>
          <w:szCs w:val="21"/>
          <w:highlight w:val="none"/>
          <w:u w:val="single"/>
        </w:rPr>
        <w:t xml:space="preserve"> </w:t>
      </w:r>
      <w:r>
        <w:rPr>
          <w:rFonts w:hint="eastAsia" w:eastAsia="仿宋_GB2312"/>
          <w:b/>
          <w:bCs/>
          <w:color w:val="auto"/>
          <w:szCs w:val="21"/>
          <w:highlight w:val="none"/>
          <w:u w:val="single"/>
          <w:lang w:val="en-US" w:eastAsia="zh-CN"/>
        </w:rPr>
        <w:t>杭州市邻居中心管理有限公司</w:t>
      </w:r>
      <w:r>
        <w:rPr>
          <w:rFonts w:eastAsia="仿宋_GB2312"/>
          <w:b/>
          <w:bCs/>
          <w:color w:val="auto"/>
          <w:szCs w:val="21"/>
          <w:highlight w:val="none"/>
          <w:u w:val="single"/>
        </w:rPr>
        <w:t xml:space="preserve"> </w:t>
      </w:r>
      <w:r>
        <w:rPr>
          <w:rFonts w:hint="eastAsia" w:eastAsia="仿宋_GB2312"/>
          <w:b/>
          <w:bCs/>
          <w:color w:val="auto"/>
          <w:szCs w:val="21"/>
          <w:highlight w:val="none"/>
        </w:rPr>
        <w:t xml:space="preserve">  物业移交时间：</w:t>
      </w:r>
      <w:r>
        <w:rPr>
          <w:rFonts w:eastAsia="仿宋_GB2312"/>
          <w:b/>
          <w:bCs/>
          <w:color w:val="auto"/>
          <w:szCs w:val="21"/>
          <w:highlight w:val="none"/>
          <w:u w:val="single"/>
        </w:rPr>
        <w:t xml:space="preserve">                   </w:t>
      </w:r>
      <w:r>
        <w:rPr>
          <w:rFonts w:hint="eastAsia" w:eastAsia="仿宋_GB2312"/>
          <w:b/>
          <w:bCs/>
          <w:color w:val="auto"/>
          <w:szCs w:val="21"/>
          <w:highlight w:val="none"/>
        </w:rPr>
        <w:t xml:space="preserve">（盖章） </w:t>
      </w:r>
    </w:p>
    <w:p w14:paraId="5A9EA61E">
      <w:pPr>
        <w:widowControl/>
        <w:textAlignment w:val="center"/>
        <w:rPr>
          <w:rFonts w:eastAsia="黑体"/>
          <w:b/>
          <w:color w:val="auto"/>
          <w:kern w:val="0"/>
          <w:sz w:val="32"/>
          <w:szCs w:val="32"/>
          <w:highlight w:val="none"/>
          <w:lang w:bidi="ar"/>
        </w:rPr>
        <w:sectPr>
          <w:pgSz w:w="11906" w:h="16838"/>
          <w:pgMar w:top="1440" w:right="1800" w:bottom="1440" w:left="1800" w:header="851" w:footer="992" w:gutter="0"/>
          <w:cols w:space="720" w:num="1"/>
          <w:docGrid w:type="lines" w:linePitch="312" w:charSpace="0"/>
        </w:sectPr>
      </w:pPr>
    </w:p>
    <w:p w14:paraId="7405BCA0">
      <w:pPr>
        <w:jc w:val="left"/>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附件五</w:t>
      </w:r>
    </w:p>
    <w:p w14:paraId="6CED7CBA">
      <w:pPr>
        <w:jc w:val="center"/>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反不正当竞争与反商业贿赂约定书</w:t>
      </w:r>
    </w:p>
    <w:p w14:paraId="27543D34">
      <w:pPr>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甲方：杭州</w:t>
      </w:r>
      <w:r>
        <w:rPr>
          <w:rFonts w:hint="eastAsia" w:ascii="楷体" w:hAnsi="楷体" w:eastAsia="楷体" w:cs="楷体"/>
          <w:color w:val="auto"/>
          <w:sz w:val="28"/>
          <w:szCs w:val="28"/>
          <w:highlight w:val="none"/>
          <w:lang w:val="en-US" w:eastAsia="zh-CN"/>
        </w:rPr>
        <w:t>市邻居中心管理</w:t>
      </w:r>
      <w:r>
        <w:rPr>
          <w:rFonts w:hint="eastAsia" w:ascii="楷体" w:hAnsi="楷体" w:eastAsia="楷体" w:cs="楷体"/>
          <w:color w:val="auto"/>
          <w:sz w:val="28"/>
          <w:szCs w:val="28"/>
          <w:highlight w:val="none"/>
        </w:rPr>
        <w:t>有限公司</w:t>
      </w:r>
    </w:p>
    <w:p w14:paraId="5DFD5177">
      <w:pPr>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 xml:space="preserve">乙方：         </w:t>
      </w:r>
    </w:p>
    <w:p w14:paraId="05A42475">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为认真贯彻落实中央、省、市及集团公司、资产</w:t>
      </w:r>
      <w:r>
        <w:rPr>
          <w:rFonts w:hint="eastAsia" w:ascii="楷体" w:hAnsi="楷体" w:eastAsia="楷体" w:cs="楷体"/>
          <w:color w:val="auto"/>
          <w:sz w:val="28"/>
          <w:szCs w:val="28"/>
          <w:highlight w:val="none"/>
          <w:lang w:val="en-US" w:eastAsia="zh-CN"/>
        </w:rPr>
        <w:t>集团</w:t>
      </w:r>
      <w:r>
        <w:rPr>
          <w:rFonts w:hint="eastAsia" w:ascii="楷体" w:hAnsi="楷体" w:eastAsia="楷体" w:cs="楷体"/>
          <w:color w:val="auto"/>
          <w:sz w:val="28"/>
          <w:szCs w:val="28"/>
          <w:highlight w:val="none"/>
        </w:rPr>
        <w:t>关于党风廉政责任制相关规定要求，保证公司各项运营活动公开、公平、公正，推动打造企业与合作方真诚亲密，清白纯洁的“亲·清”关系，保护国家、集体和当事人的合法权益，防止发生各种不正当竞争以及商业贿赂等违法违纪行为，特订立本约定书。</w:t>
      </w:r>
    </w:p>
    <w:p w14:paraId="25C490E3">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第一条 双方责任</w:t>
      </w:r>
    </w:p>
    <w:p w14:paraId="0D8D9B23">
      <w:pPr>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　　1.1甲乙双方应严格遵守国家关于市场准入、招标投标、招商招租、物业管理和市场经营活动等有关法律、法规，相关政策，以及廉政建设的各项规定。</w:t>
      </w:r>
    </w:p>
    <w:p w14:paraId="755E3BEF">
      <w:pPr>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　　1.2甲乙双方应严格执行合同所约定的各项权利义务，自觉按合同办事。</w:t>
      </w:r>
    </w:p>
    <w:p w14:paraId="0DDA80DD">
      <w:pPr>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　　1.3甲乙双方在商业活动中应始终坚持公开、公平、公正、诚信、透明的原则，不得为获取不正当的利益，违反规章制度，损害国家、集体、其他任意第三方和合同对方的利益。</w:t>
      </w:r>
    </w:p>
    <w:p w14:paraId="0083ED5E">
      <w:pPr>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　　1.4甲乙双方发现合同对方在业务活动中有违规、违纪、违法行为的，应及时提醒，情节严重的，应向其主管部门或公司纪检监察、司法等有关机关举报。</w:t>
      </w:r>
    </w:p>
    <w:p w14:paraId="14E0972E">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第二条 甲方责任</w:t>
      </w:r>
    </w:p>
    <w:p w14:paraId="47C9CCC6">
      <w:pPr>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　　甲方从事商业运营活动的工作人员，应始终遵守以下规定：</w:t>
      </w:r>
    </w:p>
    <w:p w14:paraId="2E1B8668">
      <w:pPr>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　　2.1不向乙方和相关单位索要或接受任何回扣、礼金、有价证券、贵重物品和好处费、感谢费等账外财产。</w:t>
      </w:r>
    </w:p>
    <w:p w14:paraId="2C54D96A">
      <w:pPr>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　　2.2不在乙方和相关单位报销任何应由甲方或个人支付的费用。</w:t>
      </w:r>
    </w:p>
    <w:p w14:paraId="54DF2457">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2.3不要求、暗示和接受乙方和相关单位为其装修住房、婚丧嫁娶、近亲属的工作安排以及出国（境）、旅游等提供方便。</w:t>
      </w:r>
    </w:p>
    <w:p w14:paraId="34CFF56D">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2.4不参加有可能影响乙方和相关单位公正执行商业活动的宴请和健身、娱乐等活动。</w:t>
      </w:r>
    </w:p>
    <w:p w14:paraId="625D2507">
      <w:pPr>
        <w:ind w:firstLine="560" w:firstLineChars="200"/>
        <w:rPr>
          <w:rFonts w:hint="eastAsia" w:ascii="楷体" w:hAnsi="楷体" w:eastAsia="楷体" w:cs="楷体"/>
          <w:color w:val="auto"/>
          <w:sz w:val="28"/>
          <w:szCs w:val="28"/>
          <w:highlight w:val="none"/>
          <w:lang w:eastAsia="zh-CN"/>
        </w:rPr>
      </w:pPr>
      <w:r>
        <w:rPr>
          <w:rFonts w:hint="eastAsia" w:ascii="楷体" w:hAnsi="楷体" w:eastAsia="楷体" w:cs="楷体"/>
          <w:color w:val="auto"/>
          <w:sz w:val="28"/>
          <w:szCs w:val="28"/>
          <w:highlight w:val="none"/>
        </w:rPr>
        <w:t>2.5不准接受管理和服务对象违规转让、赠与的股份及其红利，或擅自投资入股</w:t>
      </w:r>
      <w:r>
        <w:rPr>
          <w:rFonts w:hint="eastAsia" w:ascii="楷体" w:hAnsi="楷体" w:eastAsia="楷体" w:cs="楷体"/>
          <w:color w:val="auto"/>
          <w:sz w:val="28"/>
          <w:szCs w:val="28"/>
          <w:highlight w:val="none"/>
          <w:lang w:eastAsia="zh-CN"/>
        </w:rPr>
        <w:t>。</w:t>
      </w:r>
    </w:p>
    <w:p w14:paraId="3D781E51">
      <w:pPr>
        <w:ind w:firstLine="560" w:firstLineChars="200"/>
        <w:rPr>
          <w:rFonts w:hint="eastAsia" w:ascii="楷体" w:hAnsi="楷体" w:eastAsia="楷体" w:cs="楷体"/>
          <w:color w:val="auto"/>
          <w:sz w:val="28"/>
          <w:szCs w:val="28"/>
          <w:highlight w:val="none"/>
          <w:lang w:eastAsia="zh-CN"/>
        </w:rPr>
      </w:pPr>
      <w:r>
        <w:rPr>
          <w:rFonts w:hint="eastAsia" w:ascii="楷体" w:hAnsi="楷体" w:eastAsia="楷体" w:cs="楷体"/>
          <w:color w:val="auto"/>
          <w:sz w:val="28"/>
          <w:szCs w:val="28"/>
          <w:highlight w:val="none"/>
        </w:rPr>
        <w:t>2.6不准在业务活动中设置障碍，敷衍推诿，态度粗鲁，刁难管理和服务对象</w:t>
      </w:r>
      <w:r>
        <w:rPr>
          <w:rFonts w:hint="eastAsia" w:ascii="楷体" w:hAnsi="楷体" w:eastAsia="楷体" w:cs="楷体"/>
          <w:color w:val="auto"/>
          <w:sz w:val="28"/>
          <w:szCs w:val="28"/>
          <w:highlight w:val="none"/>
          <w:lang w:eastAsia="zh-CN"/>
        </w:rPr>
        <w:t>。</w:t>
      </w:r>
    </w:p>
    <w:p w14:paraId="582CEEB7">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2.7不准安排亲属在管理和服务对象单位担任职务或接受报酬；</w:t>
      </w:r>
    </w:p>
    <w:p w14:paraId="0F73942F">
      <w:pPr>
        <w:ind w:firstLine="560" w:firstLineChars="200"/>
        <w:rPr>
          <w:rFonts w:hint="eastAsia" w:ascii="楷体" w:hAnsi="楷体" w:eastAsia="楷体" w:cs="楷体"/>
          <w:color w:val="auto"/>
          <w:sz w:val="28"/>
          <w:szCs w:val="28"/>
          <w:highlight w:val="none"/>
          <w:lang w:eastAsia="zh-CN"/>
        </w:rPr>
      </w:pPr>
      <w:r>
        <w:rPr>
          <w:rFonts w:hint="eastAsia" w:ascii="楷体" w:hAnsi="楷体" w:eastAsia="楷体" w:cs="楷体"/>
          <w:color w:val="auto"/>
          <w:sz w:val="28"/>
          <w:szCs w:val="28"/>
          <w:highlight w:val="none"/>
        </w:rPr>
        <w:t>2.8不准利用职权便利为亲朋好友谋取非法利益或从事营利性经营活动提供便利条件</w:t>
      </w:r>
      <w:r>
        <w:rPr>
          <w:rFonts w:hint="eastAsia" w:ascii="楷体" w:hAnsi="楷体" w:eastAsia="楷体" w:cs="楷体"/>
          <w:color w:val="auto"/>
          <w:sz w:val="28"/>
          <w:szCs w:val="28"/>
          <w:highlight w:val="none"/>
          <w:lang w:eastAsia="zh-CN"/>
        </w:rPr>
        <w:t>。</w:t>
      </w:r>
    </w:p>
    <w:p w14:paraId="6CD8BF2B">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第三条 乙方责任</w:t>
      </w:r>
    </w:p>
    <w:p w14:paraId="7B8DFE80">
      <w:pPr>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　　3.1不以任何理由任何方式向甲方、相关单位及其工作人员提供、赠送或给予回扣、礼金、有价证券、贵重物品和好处费、感谢费等账外财产。</w:t>
      </w:r>
    </w:p>
    <w:p w14:paraId="46F54494">
      <w:pPr>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　　3.2不以任何理由任何方式为甲方和相关单位报销应由对方或个人支付的费用。</w:t>
      </w:r>
    </w:p>
    <w:p w14:paraId="2E4B8A2A">
      <w:pPr>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　　3.3不以任何理由任何方式为甲方或相关单位个人装修住房、婚丧嫁娶、近亲属的工作安排以及出国（境）、旅游等提供方便。</w:t>
      </w:r>
    </w:p>
    <w:p w14:paraId="0ECF7B62">
      <w:pPr>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　　3.4不以任何理由任何方式为甲方或相关单位组织有可能影响甲方公正执行商业活动的宴请、健身、娱乐等活动。</w:t>
      </w:r>
    </w:p>
    <w:p w14:paraId="455262B8">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3.5不得以任何不正当方式诋毁、排挤第三方，执行合同过程中不得以不正当手段获取不当利益，对知悉的甲方情况予以保密。</w:t>
      </w:r>
    </w:p>
    <w:p w14:paraId="12E028C0">
      <w:pPr>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　　第四条 违约责任</w:t>
      </w:r>
    </w:p>
    <w:p w14:paraId="1DD61C64">
      <w:pPr>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　　4.1甲方工作人员有违反本约定书第一、二条责任行为的，按照管理权限，依据有关法律法规和规定给予党纪、政纪处分或组织处理；涉嫌犯罪的，移交司法机关追究刑事责任；给乙方单位造成经济损失的，应予以赔偿。</w:t>
      </w:r>
    </w:p>
    <w:p w14:paraId="47802D64">
      <w:pPr>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　　4.2乙方工作人员有违反本约定书第一、三条责任行为的，</w:t>
      </w:r>
      <w:r>
        <w:rPr>
          <w:rFonts w:hint="eastAsia" w:ascii="楷体" w:hAnsi="楷体" w:eastAsia="楷体" w:cs="楷体"/>
          <w:color w:val="auto"/>
          <w:sz w:val="28"/>
          <w:szCs w:val="28"/>
          <w:highlight w:val="none"/>
          <w:lang w:val="en-US" w:eastAsia="zh-CN"/>
        </w:rPr>
        <w:t>甲方有权单方解除房屋租赁合同并</w:t>
      </w:r>
      <w:r>
        <w:rPr>
          <w:rFonts w:hint="eastAsia" w:ascii="楷体" w:hAnsi="楷体" w:eastAsia="楷体" w:cs="楷体"/>
          <w:color w:val="auto"/>
          <w:sz w:val="28"/>
          <w:szCs w:val="28"/>
          <w:highlight w:val="none"/>
        </w:rPr>
        <w:t>将</w:t>
      </w:r>
      <w:r>
        <w:rPr>
          <w:rFonts w:hint="eastAsia" w:ascii="楷体" w:hAnsi="楷体" w:eastAsia="楷体" w:cs="楷体"/>
          <w:color w:val="auto"/>
          <w:sz w:val="28"/>
          <w:szCs w:val="28"/>
          <w:highlight w:val="none"/>
          <w:lang w:val="en-US" w:eastAsia="zh-CN"/>
        </w:rPr>
        <w:t>乙</w:t>
      </w:r>
      <w:r>
        <w:rPr>
          <w:rFonts w:hint="eastAsia" w:ascii="楷体" w:hAnsi="楷体" w:eastAsia="楷体" w:cs="楷体"/>
          <w:color w:val="auto"/>
          <w:sz w:val="28"/>
          <w:szCs w:val="28"/>
          <w:highlight w:val="none"/>
        </w:rPr>
        <w:t>方</w:t>
      </w:r>
      <w:r>
        <w:rPr>
          <w:rFonts w:hint="eastAsia" w:ascii="楷体" w:hAnsi="楷体" w:eastAsia="楷体" w:cs="楷体"/>
          <w:color w:val="auto"/>
          <w:sz w:val="28"/>
          <w:szCs w:val="28"/>
          <w:highlight w:val="none"/>
          <w:lang w:val="en-US" w:eastAsia="zh-CN"/>
        </w:rPr>
        <w:t>暂时或永久</w:t>
      </w:r>
      <w:r>
        <w:rPr>
          <w:rFonts w:hint="eastAsia" w:ascii="楷体" w:hAnsi="楷体" w:eastAsia="楷体" w:cs="楷体"/>
          <w:color w:val="auto"/>
          <w:sz w:val="28"/>
          <w:szCs w:val="28"/>
          <w:highlight w:val="none"/>
        </w:rPr>
        <w:t>列入</w:t>
      </w:r>
      <w:r>
        <w:rPr>
          <w:rFonts w:hint="eastAsia" w:ascii="楷体" w:hAnsi="楷体" w:eastAsia="楷体" w:cs="楷体"/>
          <w:color w:val="auto"/>
          <w:sz w:val="28"/>
          <w:szCs w:val="28"/>
          <w:highlight w:val="none"/>
          <w:lang w:val="en-US" w:eastAsia="zh-CN"/>
        </w:rPr>
        <w:t>承租人</w:t>
      </w:r>
      <w:r>
        <w:rPr>
          <w:rFonts w:hint="eastAsia" w:ascii="楷体" w:hAnsi="楷体" w:eastAsia="楷体" w:cs="楷体"/>
          <w:color w:val="auto"/>
          <w:sz w:val="28"/>
          <w:szCs w:val="28"/>
          <w:highlight w:val="none"/>
        </w:rPr>
        <w:t>黑名单</w:t>
      </w:r>
      <w:r>
        <w:rPr>
          <w:rFonts w:hint="eastAsia" w:ascii="楷体" w:hAnsi="楷体" w:eastAsia="楷体" w:cs="楷体"/>
          <w:color w:val="auto"/>
          <w:sz w:val="28"/>
          <w:szCs w:val="28"/>
          <w:highlight w:val="none"/>
          <w:lang w:val="en-US" w:eastAsia="zh-CN"/>
        </w:rPr>
        <w:t>，同时乙</w:t>
      </w:r>
      <w:r>
        <w:rPr>
          <w:rFonts w:hint="eastAsia" w:ascii="楷体" w:hAnsi="楷体" w:eastAsia="楷体" w:cs="楷体"/>
          <w:color w:val="auto"/>
          <w:sz w:val="28"/>
          <w:szCs w:val="28"/>
          <w:highlight w:val="none"/>
        </w:rPr>
        <w:t>方须向</w:t>
      </w:r>
      <w:r>
        <w:rPr>
          <w:rFonts w:hint="eastAsia" w:ascii="楷体" w:hAnsi="楷体" w:eastAsia="楷体" w:cs="楷体"/>
          <w:color w:val="auto"/>
          <w:sz w:val="28"/>
          <w:szCs w:val="28"/>
          <w:highlight w:val="none"/>
          <w:lang w:val="en-US" w:eastAsia="zh-CN"/>
        </w:rPr>
        <w:t>甲</w:t>
      </w:r>
      <w:r>
        <w:rPr>
          <w:rFonts w:hint="eastAsia" w:ascii="楷体" w:hAnsi="楷体" w:eastAsia="楷体" w:cs="楷体"/>
          <w:color w:val="auto"/>
          <w:sz w:val="28"/>
          <w:szCs w:val="28"/>
          <w:highlight w:val="none"/>
        </w:rPr>
        <w:t>方无条件支付合同总</w:t>
      </w:r>
      <w:r>
        <w:rPr>
          <w:rFonts w:hint="eastAsia" w:ascii="楷体" w:hAnsi="楷体" w:eastAsia="楷体" w:cs="楷体"/>
          <w:color w:val="auto"/>
          <w:sz w:val="28"/>
          <w:szCs w:val="28"/>
          <w:highlight w:val="none"/>
          <w:lang w:val="en-US" w:eastAsia="zh-CN"/>
        </w:rPr>
        <w:t>金</w:t>
      </w:r>
      <w:r>
        <w:rPr>
          <w:rFonts w:hint="eastAsia" w:ascii="楷体" w:hAnsi="楷体" w:eastAsia="楷体" w:cs="楷体"/>
          <w:color w:val="auto"/>
          <w:sz w:val="28"/>
          <w:szCs w:val="28"/>
          <w:highlight w:val="none"/>
        </w:rPr>
        <w:t>额10%或行贿金额5倍（以金额高者为准）的违约金；涉嫌犯罪的，移交司法机关追究刑事责任；给甲方单位造成经济损失的，应予以赔偿。</w:t>
      </w:r>
    </w:p>
    <w:p w14:paraId="089F1476">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第五条 其他</w:t>
      </w:r>
    </w:p>
    <w:p w14:paraId="387FC724">
      <w:pPr>
        <w:ind w:firstLine="560" w:firstLineChars="200"/>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5.1本约定书经双方</w:t>
      </w:r>
      <w:r>
        <w:rPr>
          <w:rFonts w:hint="eastAsia" w:ascii="楷体" w:hAnsi="楷体" w:eastAsia="楷体" w:cs="楷体"/>
          <w:color w:val="auto"/>
          <w:sz w:val="28"/>
          <w:szCs w:val="28"/>
          <w:highlight w:val="none"/>
          <w:lang w:val="en-US" w:eastAsia="zh-CN"/>
        </w:rPr>
        <w:t>签字或盖章</w:t>
      </w:r>
      <w:r>
        <w:rPr>
          <w:rFonts w:hint="eastAsia" w:ascii="楷体" w:hAnsi="楷体" w:eastAsia="楷体" w:cs="楷体"/>
          <w:color w:val="auto"/>
          <w:sz w:val="28"/>
          <w:szCs w:val="28"/>
          <w:highlight w:val="none"/>
        </w:rPr>
        <w:t>后立即生效，至租赁合同结束时</w:t>
      </w:r>
      <w:r>
        <w:rPr>
          <w:rFonts w:hint="eastAsia" w:ascii="楷体" w:hAnsi="楷体" w:eastAsia="楷体" w:cs="楷体"/>
          <w:color w:val="auto"/>
          <w:sz w:val="28"/>
          <w:szCs w:val="28"/>
          <w:highlight w:val="none"/>
          <w:lang w:val="en-US" w:eastAsia="zh-CN"/>
        </w:rPr>
        <w:t>终</w:t>
      </w:r>
      <w:r>
        <w:rPr>
          <w:rFonts w:hint="eastAsia" w:ascii="楷体" w:hAnsi="楷体" w:eastAsia="楷体" w:cs="楷体"/>
          <w:color w:val="auto"/>
          <w:sz w:val="28"/>
          <w:szCs w:val="28"/>
          <w:highlight w:val="none"/>
        </w:rPr>
        <w:t>止。</w:t>
      </w:r>
    </w:p>
    <w:p w14:paraId="344DFF63">
      <w:pPr>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w:t>
      </w:r>
      <w:r>
        <w:rPr>
          <w:rFonts w:hint="eastAsia" w:ascii="楷体" w:hAnsi="楷体" w:eastAsia="楷体" w:cs="楷体"/>
          <w:color w:val="auto"/>
          <w:sz w:val="28"/>
          <w:szCs w:val="28"/>
          <w:highlight w:val="none"/>
          <w:lang w:val="en-US" w:eastAsia="zh-CN"/>
        </w:rPr>
        <w:t>以下</w:t>
      </w:r>
      <w:r>
        <w:rPr>
          <w:rFonts w:hint="eastAsia" w:ascii="楷体" w:hAnsi="楷体" w:eastAsia="楷体" w:cs="楷体"/>
          <w:color w:val="auto"/>
          <w:sz w:val="28"/>
          <w:szCs w:val="28"/>
          <w:highlight w:val="none"/>
        </w:rPr>
        <w:t>无正文）</w:t>
      </w:r>
    </w:p>
    <w:p w14:paraId="1A947F9B">
      <w:pPr>
        <w:rPr>
          <w:rFonts w:ascii="楷体" w:hAnsi="楷体" w:eastAsia="楷体" w:cs="楷体"/>
          <w:color w:val="auto"/>
          <w:sz w:val="28"/>
          <w:szCs w:val="28"/>
          <w:highlight w:val="none"/>
        </w:rPr>
      </w:pPr>
    </w:p>
    <w:p w14:paraId="47890B99">
      <w:pPr>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br w:type="page"/>
      </w:r>
    </w:p>
    <w:p w14:paraId="769B4E8E">
      <w:pPr>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w:t>
      </w:r>
      <w:r>
        <w:rPr>
          <w:rFonts w:hint="eastAsia" w:ascii="楷体" w:hAnsi="楷体" w:eastAsia="楷体" w:cs="楷体"/>
          <w:color w:val="auto"/>
          <w:sz w:val="28"/>
          <w:szCs w:val="28"/>
          <w:highlight w:val="none"/>
          <w:lang w:val="en-US" w:eastAsia="zh-CN"/>
        </w:rPr>
        <w:t>合同</w:t>
      </w:r>
      <w:r>
        <w:rPr>
          <w:rFonts w:hint="eastAsia" w:ascii="楷体" w:hAnsi="楷体" w:eastAsia="楷体" w:cs="楷体"/>
          <w:color w:val="auto"/>
          <w:sz w:val="28"/>
          <w:szCs w:val="28"/>
          <w:highlight w:val="none"/>
        </w:rPr>
        <w:t>签署页）</w:t>
      </w:r>
    </w:p>
    <w:p w14:paraId="5449E447">
      <w:pPr>
        <w:rPr>
          <w:rFonts w:ascii="楷体" w:hAnsi="楷体" w:eastAsia="楷体" w:cs="楷体"/>
          <w:color w:val="auto"/>
          <w:sz w:val="28"/>
          <w:szCs w:val="28"/>
          <w:highlight w:val="none"/>
        </w:rPr>
      </w:pPr>
    </w:p>
    <w:p w14:paraId="52DB23DB">
      <w:pPr>
        <w:rPr>
          <w:rFonts w:hint="default" w:ascii="楷体" w:hAnsi="楷体" w:eastAsia="楷体" w:cs="楷体"/>
          <w:color w:val="auto"/>
          <w:sz w:val="28"/>
          <w:szCs w:val="28"/>
          <w:highlight w:val="none"/>
          <w:lang w:val="en-US" w:eastAsia="zh-CN"/>
        </w:rPr>
      </w:pPr>
      <w:r>
        <w:rPr>
          <w:rFonts w:hint="eastAsia" w:ascii="楷体" w:hAnsi="楷体" w:eastAsia="楷体" w:cs="楷体"/>
          <w:color w:val="auto"/>
          <w:sz w:val="28"/>
          <w:szCs w:val="28"/>
          <w:highlight w:val="none"/>
        </w:rPr>
        <w:t>甲方</w:t>
      </w:r>
      <w:r>
        <w:rPr>
          <w:rFonts w:hint="eastAsia" w:ascii="楷体" w:hAnsi="楷体" w:eastAsia="楷体" w:cs="楷体"/>
          <w:color w:val="auto"/>
          <w:sz w:val="28"/>
          <w:szCs w:val="28"/>
          <w:highlight w:val="none"/>
          <w:lang w:eastAsia="zh-CN"/>
        </w:rPr>
        <w:t>（</w:t>
      </w:r>
      <w:r>
        <w:rPr>
          <w:rFonts w:hint="eastAsia" w:ascii="楷体" w:hAnsi="楷体" w:eastAsia="楷体" w:cs="楷体"/>
          <w:color w:val="auto"/>
          <w:sz w:val="28"/>
          <w:szCs w:val="28"/>
          <w:highlight w:val="none"/>
          <w:lang w:val="en-US" w:eastAsia="zh-CN"/>
        </w:rPr>
        <w:t>盖章</w:t>
      </w:r>
      <w:r>
        <w:rPr>
          <w:rFonts w:hint="eastAsia" w:ascii="楷体" w:hAnsi="楷体" w:eastAsia="楷体" w:cs="楷体"/>
          <w:color w:val="auto"/>
          <w:sz w:val="28"/>
          <w:szCs w:val="28"/>
          <w:highlight w:val="none"/>
          <w:lang w:eastAsia="zh-CN"/>
        </w:rPr>
        <w:t>）：</w:t>
      </w:r>
      <w:r>
        <w:rPr>
          <w:rFonts w:hint="eastAsia" w:ascii="楷体" w:hAnsi="楷体" w:eastAsia="楷体" w:cs="楷体"/>
          <w:color w:val="auto"/>
          <w:sz w:val="28"/>
          <w:szCs w:val="28"/>
          <w:highlight w:val="none"/>
          <w:lang w:val="en-US" w:eastAsia="zh-CN"/>
        </w:rPr>
        <w:t>杭州市邻居中心管理有限公司</w:t>
      </w:r>
    </w:p>
    <w:p w14:paraId="4E790527">
      <w:pPr>
        <w:rPr>
          <w:rFonts w:ascii="楷体" w:hAnsi="楷体" w:eastAsia="楷体" w:cs="楷体"/>
          <w:color w:val="auto"/>
          <w:sz w:val="28"/>
          <w:szCs w:val="28"/>
          <w:highlight w:val="none"/>
        </w:rPr>
      </w:pPr>
      <w:r>
        <w:rPr>
          <w:rFonts w:hint="eastAsia" w:ascii="楷体" w:hAnsi="楷体" w:eastAsia="楷体" w:cs="楷体"/>
          <w:color w:val="auto"/>
          <w:sz w:val="28"/>
          <w:szCs w:val="28"/>
          <w:highlight w:val="none"/>
          <w:lang w:val="en-US" w:eastAsia="zh-CN"/>
        </w:rPr>
        <w:t>法定代表人或授权代表</w:t>
      </w:r>
      <w:r>
        <w:rPr>
          <w:rFonts w:hint="eastAsia" w:ascii="楷体" w:hAnsi="楷体" w:eastAsia="楷体" w:cs="楷体"/>
          <w:color w:val="auto"/>
          <w:sz w:val="28"/>
          <w:szCs w:val="28"/>
          <w:highlight w:val="none"/>
        </w:rPr>
        <w:t xml:space="preserve">：　　　　　　　　                  </w:t>
      </w:r>
    </w:p>
    <w:p w14:paraId="22C72457">
      <w:pPr>
        <w:rPr>
          <w:rFonts w:hint="eastAsia" w:ascii="楷体" w:hAnsi="楷体" w:eastAsia="楷体" w:cs="楷体"/>
          <w:color w:val="auto"/>
          <w:sz w:val="28"/>
          <w:szCs w:val="28"/>
          <w:highlight w:val="none"/>
          <w:lang w:val="en-US" w:eastAsia="zh-CN"/>
        </w:rPr>
      </w:pPr>
      <w:r>
        <w:rPr>
          <w:rFonts w:hint="eastAsia" w:ascii="楷体" w:hAnsi="楷体" w:eastAsia="楷体" w:cs="楷体"/>
          <w:color w:val="auto"/>
          <w:sz w:val="28"/>
          <w:szCs w:val="28"/>
          <w:highlight w:val="none"/>
          <w:lang w:val="en-US" w:eastAsia="zh-CN"/>
        </w:rPr>
        <w:t>经办人：</w:t>
      </w:r>
    </w:p>
    <w:p w14:paraId="0E11A383">
      <w:pPr>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rPr>
        <w:t>地址：</w:t>
      </w:r>
    </w:p>
    <w:p w14:paraId="6FC5F990">
      <w:pPr>
        <w:rPr>
          <w:rFonts w:ascii="楷体" w:hAnsi="楷体" w:eastAsia="楷体" w:cs="楷体"/>
          <w:color w:val="auto"/>
          <w:sz w:val="28"/>
          <w:szCs w:val="28"/>
          <w:highlight w:val="none"/>
        </w:rPr>
      </w:pPr>
      <w:r>
        <w:rPr>
          <w:rFonts w:hint="eastAsia" w:ascii="楷体" w:hAnsi="楷体" w:eastAsia="楷体" w:cs="楷体"/>
          <w:color w:val="auto"/>
          <w:sz w:val="28"/>
          <w:szCs w:val="28"/>
          <w:highlight w:val="none"/>
          <w:lang w:val="en-US" w:eastAsia="zh-CN"/>
        </w:rPr>
        <w:t>监督</w:t>
      </w:r>
      <w:r>
        <w:rPr>
          <w:rFonts w:hint="eastAsia" w:ascii="楷体" w:hAnsi="楷体" w:eastAsia="楷体" w:cs="楷体"/>
          <w:color w:val="auto"/>
          <w:sz w:val="28"/>
          <w:szCs w:val="28"/>
          <w:highlight w:val="none"/>
        </w:rPr>
        <w:t>电话：0571-877695</w:t>
      </w:r>
      <w:r>
        <w:rPr>
          <w:rFonts w:hint="eastAsia" w:ascii="楷体" w:hAnsi="楷体" w:eastAsia="楷体" w:cs="楷体"/>
          <w:color w:val="auto"/>
          <w:sz w:val="28"/>
          <w:szCs w:val="28"/>
          <w:highlight w:val="none"/>
          <w:lang w:val="en-US" w:eastAsia="zh-CN"/>
        </w:rPr>
        <w:t>91</w:t>
      </w:r>
      <w:r>
        <w:rPr>
          <w:rFonts w:hint="eastAsia" w:ascii="楷体" w:hAnsi="楷体" w:eastAsia="楷体" w:cs="楷体"/>
          <w:color w:val="auto"/>
          <w:sz w:val="28"/>
          <w:szCs w:val="28"/>
          <w:highlight w:val="none"/>
        </w:rPr>
        <w:t xml:space="preserve">           </w:t>
      </w:r>
    </w:p>
    <w:p w14:paraId="3B30BAC1">
      <w:pPr>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 xml:space="preserve">日期:          年 　  月 　  日           </w:t>
      </w:r>
    </w:p>
    <w:p w14:paraId="65187A08">
      <w:pPr>
        <w:rPr>
          <w:rFonts w:ascii="楷体" w:hAnsi="楷体" w:eastAsia="楷体" w:cs="楷体"/>
          <w:color w:val="auto"/>
          <w:sz w:val="28"/>
          <w:szCs w:val="28"/>
          <w:highlight w:val="none"/>
        </w:rPr>
      </w:pPr>
    </w:p>
    <w:p w14:paraId="2543A9D8">
      <w:pPr>
        <w:rPr>
          <w:rFonts w:ascii="楷体" w:hAnsi="楷体" w:eastAsia="楷体" w:cs="楷体"/>
          <w:color w:val="auto"/>
          <w:sz w:val="28"/>
          <w:szCs w:val="28"/>
          <w:highlight w:val="none"/>
        </w:rPr>
      </w:pPr>
    </w:p>
    <w:p w14:paraId="56AB4012">
      <w:pPr>
        <w:rPr>
          <w:rFonts w:hint="eastAsia" w:ascii="楷体" w:hAnsi="楷体" w:eastAsia="楷体" w:cs="楷体"/>
          <w:color w:val="auto"/>
          <w:sz w:val="28"/>
          <w:szCs w:val="28"/>
          <w:highlight w:val="none"/>
          <w:lang w:eastAsia="zh-CN"/>
        </w:rPr>
      </w:pPr>
      <w:r>
        <w:rPr>
          <w:rFonts w:hint="eastAsia" w:ascii="楷体" w:hAnsi="楷体" w:eastAsia="楷体" w:cs="楷体"/>
          <w:color w:val="auto"/>
          <w:sz w:val="28"/>
          <w:szCs w:val="28"/>
          <w:highlight w:val="none"/>
        </w:rPr>
        <w:t>乙方</w:t>
      </w:r>
      <w:r>
        <w:rPr>
          <w:rFonts w:hint="eastAsia" w:ascii="楷体" w:hAnsi="楷体" w:eastAsia="楷体" w:cs="楷体"/>
          <w:color w:val="auto"/>
          <w:sz w:val="28"/>
          <w:szCs w:val="28"/>
          <w:highlight w:val="none"/>
          <w:lang w:eastAsia="zh-CN"/>
        </w:rPr>
        <w:t>（</w:t>
      </w:r>
      <w:r>
        <w:rPr>
          <w:rFonts w:hint="eastAsia" w:ascii="楷体" w:hAnsi="楷体" w:eastAsia="楷体" w:cs="楷体"/>
          <w:color w:val="auto"/>
          <w:sz w:val="28"/>
          <w:szCs w:val="28"/>
          <w:highlight w:val="none"/>
          <w:lang w:val="en-US" w:eastAsia="zh-CN"/>
        </w:rPr>
        <w:t>签字或盖章</w:t>
      </w:r>
      <w:r>
        <w:rPr>
          <w:rFonts w:hint="eastAsia" w:ascii="楷体" w:hAnsi="楷体" w:eastAsia="楷体" w:cs="楷体"/>
          <w:color w:val="auto"/>
          <w:sz w:val="28"/>
          <w:szCs w:val="28"/>
          <w:highlight w:val="none"/>
          <w:lang w:eastAsia="zh-CN"/>
        </w:rPr>
        <w:t>）：</w:t>
      </w:r>
      <w:r>
        <w:rPr>
          <w:rFonts w:hint="eastAsia" w:ascii="楷体" w:hAnsi="楷体" w:eastAsia="楷体" w:cs="楷体"/>
          <w:color w:val="auto"/>
          <w:sz w:val="28"/>
          <w:szCs w:val="28"/>
          <w:highlight w:val="none"/>
        </w:rPr>
        <w:t xml:space="preserve">    </w:t>
      </w:r>
    </w:p>
    <w:p w14:paraId="0F0B9F22">
      <w:pPr>
        <w:rPr>
          <w:rFonts w:ascii="楷体" w:hAnsi="楷体" w:eastAsia="楷体" w:cs="楷体"/>
          <w:color w:val="auto"/>
          <w:sz w:val="28"/>
          <w:szCs w:val="28"/>
          <w:highlight w:val="none"/>
        </w:rPr>
      </w:pPr>
      <w:r>
        <w:rPr>
          <w:rFonts w:hint="eastAsia" w:ascii="楷体" w:hAnsi="楷体" w:eastAsia="楷体" w:cs="楷体"/>
          <w:color w:val="auto"/>
          <w:sz w:val="28"/>
          <w:szCs w:val="28"/>
          <w:highlight w:val="none"/>
          <w:lang w:val="en-US" w:eastAsia="zh-CN"/>
        </w:rPr>
        <w:t>法定代表人或授权代表</w:t>
      </w:r>
      <w:r>
        <w:rPr>
          <w:rFonts w:hint="eastAsia" w:ascii="楷体" w:hAnsi="楷体" w:eastAsia="楷体" w:cs="楷体"/>
          <w:color w:val="auto"/>
          <w:sz w:val="28"/>
          <w:szCs w:val="28"/>
          <w:highlight w:val="none"/>
        </w:rPr>
        <w:t>：</w:t>
      </w:r>
    </w:p>
    <w:p w14:paraId="6E2DF908">
      <w:pPr>
        <w:rPr>
          <w:rFonts w:ascii="楷体" w:hAnsi="楷体" w:eastAsia="楷体" w:cs="楷体"/>
          <w:color w:val="auto"/>
          <w:sz w:val="28"/>
          <w:szCs w:val="28"/>
          <w:highlight w:val="none"/>
        </w:rPr>
      </w:pPr>
      <w:r>
        <w:rPr>
          <w:rFonts w:hint="eastAsia" w:ascii="楷体" w:hAnsi="楷体" w:eastAsia="楷体" w:cs="楷体"/>
          <w:color w:val="auto"/>
          <w:sz w:val="28"/>
          <w:szCs w:val="28"/>
          <w:highlight w:val="none"/>
        </w:rPr>
        <w:t>日期：         年   　月 　  日　</w:t>
      </w:r>
    </w:p>
    <w:p w14:paraId="5BA9BC94">
      <w:pPr>
        <w:rPr>
          <w:rFonts w:ascii="楷体" w:hAnsi="楷体" w:eastAsia="楷体" w:cs="楷体"/>
          <w:sz w:val="28"/>
          <w:szCs w:val="28"/>
          <w:highlight w:val="none"/>
        </w:rPr>
      </w:pPr>
    </w:p>
    <w:sectPr>
      <w:pgSz w:w="11906" w:h="16838"/>
      <w:pgMar w:top="1440" w:right="1466" w:bottom="1440" w:left="1736"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9F7A49B2-E708-48D9-9550-F665F926838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script"/>
    <w:pitch w:val="default"/>
    <w:sig w:usb0="00000001" w:usb1="080E0000" w:usb2="00000000" w:usb3="00000000" w:csb0="00040000" w:csb1="00000000"/>
    <w:embedRegular r:id="rId2" w:fontKey="{9E0ADC24-38FE-4BF7-99AF-BE6A24C85524}"/>
  </w:font>
  <w:font w:name="楷体">
    <w:panose1 w:val="02010609060101010101"/>
    <w:charset w:val="86"/>
    <w:family w:val="modern"/>
    <w:pitch w:val="default"/>
    <w:sig w:usb0="800002BF" w:usb1="38CF7CFA" w:usb2="00000016" w:usb3="00000000" w:csb0="00040001" w:csb1="00000000"/>
    <w:embedRegular r:id="rId3" w:fontKey="{3585DEB1-D225-4556-9B3A-998F32894FDF}"/>
  </w:font>
  <w:font w:name="仿宋_GB2312">
    <w:panose1 w:val="02010609030101010101"/>
    <w:charset w:val="86"/>
    <w:family w:val="auto"/>
    <w:pitch w:val="default"/>
    <w:sig w:usb0="00000001" w:usb1="080E0000" w:usb2="00000000" w:usb3="00000000" w:csb0="00040000" w:csb1="00000000"/>
    <w:embedRegular r:id="rId4" w:fontKey="{718638C3-64F4-4992-908C-86F17109ED06}"/>
  </w:font>
  <w:font w:name="仿宋">
    <w:panose1 w:val="02010609060101010101"/>
    <w:charset w:val="86"/>
    <w:family w:val="auto"/>
    <w:pitch w:val="default"/>
    <w:sig w:usb0="800002BF" w:usb1="38CF7CFA" w:usb2="00000016" w:usb3="00000000" w:csb0="00040001" w:csb1="00000000"/>
    <w:embedRegular r:id="rId5" w:fontKey="{E5CB77F2-121F-40A5-A102-FBF0E091730B}"/>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7549AC">
    <w:pPr>
      <w:pStyle w:val="5"/>
      <w:ind w:right="360"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
              <wp:cNvGraphicFramePr/>
              <a:graphic xmlns:a="http://schemas.openxmlformats.org/drawingml/2006/main">
                <a:graphicData uri="http://schemas.microsoft.com/office/word/2010/wordprocessingShape">
                  <wps:wsp>
                    <wps:cNvSpPr txBox="1"/>
                    <wps:spPr bwMode="auto">
                      <a:xfrm>
                        <a:off x="0" y="0"/>
                        <a:ext cx="1828800" cy="1828800"/>
                      </a:xfrm>
                      <a:prstGeom prst="rect">
                        <a:avLst/>
                      </a:prstGeom>
                      <a:noFill/>
                      <a:ln>
                        <a:noFill/>
                      </a:ln>
                    </wps:spPr>
                    <wps:txbx>
                      <w:txbxContent>
                        <w:p w14:paraId="21E6C1ED">
                          <w:pPr>
                            <w:pStyle w:val="5"/>
                            <w:rPr>
                              <w:rFonts w:hint="eastAsia" w:ascii="楷体" w:hAnsi="楷体" w:eastAsia="楷体" w:cs="楷体"/>
                            </w:rPr>
                          </w:pPr>
                          <w:r>
                            <w:rPr>
                              <w:rFonts w:hint="eastAsia" w:ascii="楷体" w:hAnsi="楷体" w:eastAsia="楷体" w:cs="楷体"/>
                            </w:rPr>
                            <w:t xml:space="preserve">第 </w:t>
                          </w:r>
                          <w:r>
                            <w:rPr>
                              <w:rFonts w:hint="eastAsia" w:ascii="楷体" w:hAnsi="楷体" w:eastAsia="楷体" w:cs="楷体"/>
                            </w:rPr>
                            <w:fldChar w:fldCharType="begin"/>
                          </w:r>
                          <w:r>
                            <w:rPr>
                              <w:rFonts w:hint="eastAsia" w:ascii="楷体" w:hAnsi="楷体" w:eastAsia="楷体" w:cs="楷体"/>
                            </w:rPr>
                            <w:instrText xml:space="preserve"> PAGE  \* MERGEFORMAT </w:instrText>
                          </w:r>
                          <w:r>
                            <w:rPr>
                              <w:rFonts w:hint="eastAsia" w:ascii="楷体" w:hAnsi="楷体" w:eastAsia="楷体" w:cs="楷体"/>
                            </w:rPr>
                            <w:fldChar w:fldCharType="separate"/>
                          </w:r>
                          <w:r>
                            <w:rPr>
                              <w:rFonts w:hint="eastAsia" w:ascii="楷体" w:hAnsi="楷体" w:eastAsia="楷体" w:cs="楷体"/>
                            </w:rPr>
                            <w:t>- 2 -</w:t>
                          </w:r>
                          <w:r>
                            <w:rPr>
                              <w:rFonts w:hint="eastAsia" w:ascii="楷体" w:hAnsi="楷体" w:eastAsia="楷体" w:cs="楷体"/>
                            </w:rPr>
                            <w:fldChar w:fldCharType="end"/>
                          </w:r>
                          <w:r>
                            <w:rPr>
                              <w:rFonts w:hint="eastAsia" w:ascii="楷体" w:hAnsi="楷体" w:eastAsia="楷体" w:cs="楷体"/>
                            </w:rPr>
                            <w:t xml:space="preserve"> 页       共 </w:t>
                          </w:r>
                          <w:r>
                            <w:rPr>
                              <w:rFonts w:hint="eastAsia" w:ascii="楷体" w:hAnsi="楷体" w:eastAsia="楷体" w:cs="楷体"/>
                            </w:rPr>
                            <w:fldChar w:fldCharType="begin"/>
                          </w:r>
                          <w:r>
                            <w:rPr>
                              <w:rFonts w:hint="eastAsia" w:ascii="楷体" w:hAnsi="楷体" w:eastAsia="楷体" w:cs="楷体"/>
                            </w:rPr>
                            <w:instrText xml:space="preserve"> NUMPAGES  \* MERGEFORMAT </w:instrText>
                          </w:r>
                          <w:r>
                            <w:rPr>
                              <w:rFonts w:hint="eastAsia" w:ascii="楷体" w:hAnsi="楷体" w:eastAsia="楷体" w:cs="楷体"/>
                            </w:rPr>
                            <w:fldChar w:fldCharType="separate"/>
                          </w:r>
                          <w:r>
                            <w:rPr>
                              <w:rFonts w:hint="eastAsia" w:ascii="楷体" w:hAnsi="楷体" w:eastAsia="楷体" w:cs="楷体"/>
                            </w:rPr>
                            <w:t>36</w:t>
                          </w:r>
                          <w:r>
                            <w:rPr>
                              <w:rFonts w:hint="eastAsia" w:ascii="楷体" w:hAnsi="楷体" w:eastAsia="楷体" w:cs="楷体"/>
                            </w:rPr>
                            <w:fldChar w:fldCharType="end"/>
                          </w:r>
                          <w:r>
                            <w:rPr>
                              <w:rFonts w:hint="eastAsia" w:ascii="楷体" w:hAnsi="楷体" w:eastAsia="楷体" w:cs="楷体"/>
                            </w:rPr>
                            <w:t xml:space="preserve"> 页</w:t>
                          </w:r>
                        </w:p>
                      </w:txbxContent>
                    </wps:txbx>
                    <wps:bodyPr rot="0" vert="horz" wrap="none" lIns="0" tIns="0" rIns="0" bIns="0" anchor="t" anchorCtr="0" upright="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OqXm5zwAAAAUB&#10;AAAPAAAAAAAAAAEAIAAAACIAAABkcnMvZG93bnJldi54bWxQSwECFAAUAAAACACHTuJAQobvE+sB&#10;AADUAwAADgAAAAAAAAABACAAAAAeAQAAZHJzL2Uyb0RvYy54bWxQSwUGAAAAAAYABgBZAQAAewUA&#10;AAAA&#10;">
              <v:fill on="f" focussize="0,0"/>
              <v:stroke on="f"/>
              <v:imagedata o:title=""/>
              <o:lock v:ext="edit" aspectratio="f"/>
              <v:textbox inset="0mm,0mm,0mm,0mm" style="mso-fit-shape-to-text:t;">
                <w:txbxContent>
                  <w:p w14:paraId="21E6C1ED">
                    <w:pPr>
                      <w:pStyle w:val="5"/>
                      <w:rPr>
                        <w:rFonts w:hint="eastAsia" w:ascii="楷体" w:hAnsi="楷体" w:eastAsia="楷体" w:cs="楷体"/>
                      </w:rPr>
                    </w:pPr>
                    <w:r>
                      <w:rPr>
                        <w:rFonts w:hint="eastAsia" w:ascii="楷体" w:hAnsi="楷体" w:eastAsia="楷体" w:cs="楷体"/>
                      </w:rPr>
                      <w:t xml:space="preserve">第 </w:t>
                    </w:r>
                    <w:r>
                      <w:rPr>
                        <w:rFonts w:hint="eastAsia" w:ascii="楷体" w:hAnsi="楷体" w:eastAsia="楷体" w:cs="楷体"/>
                      </w:rPr>
                      <w:fldChar w:fldCharType="begin"/>
                    </w:r>
                    <w:r>
                      <w:rPr>
                        <w:rFonts w:hint="eastAsia" w:ascii="楷体" w:hAnsi="楷体" w:eastAsia="楷体" w:cs="楷体"/>
                      </w:rPr>
                      <w:instrText xml:space="preserve"> PAGE  \* MERGEFORMAT </w:instrText>
                    </w:r>
                    <w:r>
                      <w:rPr>
                        <w:rFonts w:hint="eastAsia" w:ascii="楷体" w:hAnsi="楷体" w:eastAsia="楷体" w:cs="楷体"/>
                      </w:rPr>
                      <w:fldChar w:fldCharType="separate"/>
                    </w:r>
                    <w:r>
                      <w:rPr>
                        <w:rFonts w:hint="eastAsia" w:ascii="楷体" w:hAnsi="楷体" w:eastAsia="楷体" w:cs="楷体"/>
                      </w:rPr>
                      <w:t>- 2 -</w:t>
                    </w:r>
                    <w:r>
                      <w:rPr>
                        <w:rFonts w:hint="eastAsia" w:ascii="楷体" w:hAnsi="楷体" w:eastAsia="楷体" w:cs="楷体"/>
                      </w:rPr>
                      <w:fldChar w:fldCharType="end"/>
                    </w:r>
                    <w:r>
                      <w:rPr>
                        <w:rFonts w:hint="eastAsia" w:ascii="楷体" w:hAnsi="楷体" w:eastAsia="楷体" w:cs="楷体"/>
                      </w:rPr>
                      <w:t xml:space="preserve"> 页       共 </w:t>
                    </w:r>
                    <w:r>
                      <w:rPr>
                        <w:rFonts w:hint="eastAsia" w:ascii="楷体" w:hAnsi="楷体" w:eastAsia="楷体" w:cs="楷体"/>
                      </w:rPr>
                      <w:fldChar w:fldCharType="begin"/>
                    </w:r>
                    <w:r>
                      <w:rPr>
                        <w:rFonts w:hint="eastAsia" w:ascii="楷体" w:hAnsi="楷体" w:eastAsia="楷体" w:cs="楷体"/>
                      </w:rPr>
                      <w:instrText xml:space="preserve"> NUMPAGES  \* MERGEFORMAT </w:instrText>
                    </w:r>
                    <w:r>
                      <w:rPr>
                        <w:rFonts w:hint="eastAsia" w:ascii="楷体" w:hAnsi="楷体" w:eastAsia="楷体" w:cs="楷体"/>
                      </w:rPr>
                      <w:fldChar w:fldCharType="separate"/>
                    </w:r>
                    <w:r>
                      <w:rPr>
                        <w:rFonts w:hint="eastAsia" w:ascii="楷体" w:hAnsi="楷体" w:eastAsia="楷体" w:cs="楷体"/>
                      </w:rPr>
                      <w:t>36</w:t>
                    </w:r>
                    <w:r>
                      <w:rPr>
                        <w:rFonts w:hint="eastAsia" w:ascii="楷体" w:hAnsi="楷体" w:eastAsia="楷体" w:cs="楷体"/>
                      </w:rPr>
                      <w:fldChar w:fldCharType="end"/>
                    </w:r>
                    <w:r>
                      <w:rPr>
                        <w:rFonts w:hint="eastAsia" w:ascii="楷体" w:hAnsi="楷体" w:eastAsia="楷体" w:cs="楷体"/>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DEC859">
    <w:pPr>
      <w:pStyle w:val="5"/>
      <w:framePr w:wrap="around" w:vAnchor="text" w:hAnchor="margin" w:xAlign="outside" w:y="1"/>
      <w:rPr>
        <w:rStyle w:val="11"/>
      </w:rPr>
    </w:pPr>
    <w:r>
      <w:fldChar w:fldCharType="begin"/>
    </w:r>
    <w:r>
      <w:rPr>
        <w:rStyle w:val="11"/>
      </w:rPr>
      <w:instrText xml:space="preserve">PAGE  </w:instrText>
    </w:r>
    <w:r>
      <w:fldChar w:fldCharType="end"/>
    </w:r>
  </w:p>
  <w:p w14:paraId="3616E219">
    <w:pPr>
      <w:pStyle w:val="5"/>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903224">
    <w:pPr>
      <w:pStyle w:val="5"/>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2"/>
              <wp:cNvGraphicFramePr/>
              <a:graphic xmlns:a="http://schemas.openxmlformats.org/drawingml/2006/main">
                <a:graphicData uri="http://schemas.microsoft.com/office/word/2010/wordprocessingShape">
                  <wps:wsp>
                    <wps:cNvSpPr txBox="1"/>
                    <wps:spPr bwMode="auto">
                      <a:xfrm>
                        <a:off x="0" y="0"/>
                        <a:ext cx="1828800" cy="1828800"/>
                      </a:xfrm>
                      <a:prstGeom prst="rect">
                        <a:avLst/>
                      </a:prstGeom>
                      <a:noFill/>
                      <a:ln>
                        <a:noFill/>
                      </a:ln>
                    </wps:spPr>
                    <wps:txbx>
                      <w:txbxContent>
                        <w:p w14:paraId="40AE4C32">
                          <w:pPr>
                            <w:pStyle w:val="5"/>
                          </w:pPr>
                          <w:r>
                            <w:t xml:space="preserve">第 </w:t>
                          </w:r>
                          <w:r>
                            <w:fldChar w:fldCharType="begin"/>
                          </w:r>
                          <w:r>
                            <w:instrText xml:space="preserve"> PAGE  \* MERGEFORMAT </w:instrText>
                          </w:r>
                          <w:r>
                            <w:fldChar w:fldCharType="separate"/>
                          </w:r>
                          <w:r>
                            <w:t>1</w:t>
                          </w:r>
                          <w:r>
                            <w:fldChar w:fldCharType="end"/>
                          </w:r>
                          <w:r>
                            <w:t xml:space="preserve"> 页 </w:t>
                          </w:r>
                          <w:r>
                            <w:rPr>
                              <w:rFonts w:hint="eastAsia"/>
                            </w:rPr>
                            <w:t xml:space="preserve">    </w:t>
                          </w:r>
                          <w:r>
                            <w:t xml:space="preserve">共 </w:t>
                          </w:r>
                          <w:r>
                            <w:fldChar w:fldCharType="begin"/>
                          </w:r>
                          <w:r>
                            <w:instrText xml:space="preserve"> NUMPAGES  \* MERGEFORMAT </w:instrText>
                          </w:r>
                          <w:r>
                            <w:fldChar w:fldCharType="separate"/>
                          </w:r>
                          <w:r>
                            <w:t>36</w:t>
                          </w:r>
                          <w:r>
                            <w:fldChar w:fldCharType="end"/>
                          </w:r>
                          <w:r>
                            <w:t xml:space="preserve"> 页</w:t>
                          </w:r>
                        </w:p>
                      </w:txbxContent>
                    </wps:txbx>
                    <wps:bodyPr rot="0" vert="horz" wrap="none" lIns="0" tIns="0" rIns="0" bIns="0" anchor="t" anchorCtr="0" upright="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M6pebnPAAAABQEA&#10;AA8AAAAAAAAAAQAgAAAAIgAAAGRycy9kb3ducmV2LnhtbFBLAQIUABQAAAAIAIdO4kAhtNsi6gEA&#10;ANQDAAAOAAAAAAAAAAEAIAAAAB4BAABkcnMvZTJvRG9jLnhtbFBLBQYAAAAABgAGAFkBAAB6BQAA&#10;AAA=&#10;">
              <v:fill on="f" focussize="0,0"/>
              <v:stroke on="f"/>
              <v:imagedata o:title=""/>
              <o:lock v:ext="edit" aspectratio="f"/>
              <v:textbox inset="0mm,0mm,0mm,0mm" style="mso-fit-shape-to-text:t;">
                <w:txbxContent>
                  <w:p w14:paraId="40AE4C32">
                    <w:pPr>
                      <w:pStyle w:val="5"/>
                    </w:pPr>
                    <w:r>
                      <w:t xml:space="preserve">第 </w:t>
                    </w:r>
                    <w:r>
                      <w:fldChar w:fldCharType="begin"/>
                    </w:r>
                    <w:r>
                      <w:instrText xml:space="preserve"> PAGE  \* MERGEFORMAT </w:instrText>
                    </w:r>
                    <w:r>
                      <w:fldChar w:fldCharType="separate"/>
                    </w:r>
                    <w:r>
                      <w:t>1</w:t>
                    </w:r>
                    <w:r>
                      <w:fldChar w:fldCharType="end"/>
                    </w:r>
                    <w:r>
                      <w:t xml:space="preserve"> 页 </w:t>
                    </w:r>
                    <w:r>
                      <w:rPr>
                        <w:rFonts w:hint="eastAsia"/>
                      </w:rPr>
                      <w:t xml:space="preserve">    </w:t>
                    </w:r>
                    <w:r>
                      <w:t xml:space="preserve">共 </w:t>
                    </w:r>
                    <w:r>
                      <w:fldChar w:fldCharType="begin"/>
                    </w:r>
                    <w:r>
                      <w:instrText xml:space="preserve"> NUMPAGES  \* MERGEFORMAT </w:instrText>
                    </w:r>
                    <w:r>
                      <w:fldChar w:fldCharType="separate"/>
                    </w:r>
                    <w:r>
                      <w:t>36</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EFF395">
    <w:pPr>
      <w:pStyle w:val="6"/>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MwM2MyYTgxOThkMTcwMzU4ZDYyMTgyMWU3ZTI5MDcifQ=="/>
    <w:docVar w:name="KSO_WPS_MARK_KEY" w:val="e148f49a-444e-41d6-841c-a41914f066a5"/>
  </w:docVars>
  <w:rsids>
    <w:rsidRoot w:val="007859C5"/>
    <w:rsid w:val="000135B6"/>
    <w:rsid w:val="00013F56"/>
    <w:rsid w:val="00014AA5"/>
    <w:rsid w:val="000322AD"/>
    <w:rsid w:val="00035DC3"/>
    <w:rsid w:val="00072813"/>
    <w:rsid w:val="000803B8"/>
    <w:rsid w:val="000A325E"/>
    <w:rsid w:val="000B1441"/>
    <w:rsid w:val="000C20E9"/>
    <w:rsid w:val="000D367A"/>
    <w:rsid w:val="000E5F38"/>
    <w:rsid w:val="000E7560"/>
    <w:rsid w:val="000F190F"/>
    <w:rsid w:val="00135041"/>
    <w:rsid w:val="00143BB3"/>
    <w:rsid w:val="00143E80"/>
    <w:rsid w:val="0015491D"/>
    <w:rsid w:val="00195007"/>
    <w:rsid w:val="001977F9"/>
    <w:rsid w:val="001A6042"/>
    <w:rsid w:val="001B28B1"/>
    <w:rsid w:val="001C29BA"/>
    <w:rsid w:val="001C5366"/>
    <w:rsid w:val="001D618F"/>
    <w:rsid w:val="001D6FD2"/>
    <w:rsid w:val="001E679E"/>
    <w:rsid w:val="00206409"/>
    <w:rsid w:val="002173C1"/>
    <w:rsid w:val="00224455"/>
    <w:rsid w:val="002427B0"/>
    <w:rsid w:val="00246834"/>
    <w:rsid w:val="002642EB"/>
    <w:rsid w:val="00280F23"/>
    <w:rsid w:val="00284105"/>
    <w:rsid w:val="00294D1A"/>
    <w:rsid w:val="002A1741"/>
    <w:rsid w:val="002C3734"/>
    <w:rsid w:val="002D1524"/>
    <w:rsid w:val="002D6AAC"/>
    <w:rsid w:val="002F1A4C"/>
    <w:rsid w:val="003004D8"/>
    <w:rsid w:val="0030380E"/>
    <w:rsid w:val="003066C1"/>
    <w:rsid w:val="00322AA0"/>
    <w:rsid w:val="00334D4B"/>
    <w:rsid w:val="00341849"/>
    <w:rsid w:val="00364D44"/>
    <w:rsid w:val="00365632"/>
    <w:rsid w:val="003714C5"/>
    <w:rsid w:val="0038612B"/>
    <w:rsid w:val="003905AC"/>
    <w:rsid w:val="00392B21"/>
    <w:rsid w:val="003A7C44"/>
    <w:rsid w:val="003B68E1"/>
    <w:rsid w:val="003C6D13"/>
    <w:rsid w:val="003D1C5E"/>
    <w:rsid w:val="003E20B8"/>
    <w:rsid w:val="003E2486"/>
    <w:rsid w:val="003E7962"/>
    <w:rsid w:val="003F5E2B"/>
    <w:rsid w:val="003F74C1"/>
    <w:rsid w:val="00405F61"/>
    <w:rsid w:val="004565B1"/>
    <w:rsid w:val="00490913"/>
    <w:rsid w:val="00491D64"/>
    <w:rsid w:val="0049403E"/>
    <w:rsid w:val="004C6B4B"/>
    <w:rsid w:val="004E4912"/>
    <w:rsid w:val="004E65F7"/>
    <w:rsid w:val="004F1259"/>
    <w:rsid w:val="00502C4E"/>
    <w:rsid w:val="005207D3"/>
    <w:rsid w:val="00526329"/>
    <w:rsid w:val="005277CA"/>
    <w:rsid w:val="00530CB4"/>
    <w:rsid w:val="00531531"/>
    <w:rsid w:val="00532B24"/>
    <w:rsid w:val="005362AF"/>
    <w:rsid w:val="00537CED"/>
    <w:rsid w:val="005531AB"/>
    <w:rsid w:val="00554166"/>
    <w:rsid w:val="005622ED"/>
    <w:rsid w:val="00563107"/>
    <w:rsid w:val="00564E8B"/>
    <w:rsid w:val="005663A7"/>
    <w:rsid w:val="005903D7"/>
    <w:rsid w:val="005916B1"/>
    <w:rsid w:val="005B296A"/>
    <w:rsid w:val="005C4E65"/>
    <w:rsid w:val="005D45B0"/>
    <w:rsid w:val="005E2A13"/>
    <w:rsid w:val="005E6899"/>
    <w:rsid w:val="00602B94"/>
    <w:rsid w:val="00607D12"/>
    <w:rsid w:val="0065453F"/>
    <w:rsid w:val="00696B53"/>
    <w:rsid w:val="006A05DB"/>
    <w:rsid w:val="006B3E54"/>
    <w:rsid w:val="006D69C2"/>
    <w:rsid w:val="006F38BD"/>
    <w:rsid w:val="0071337B"/>
    <w:rsid w:val="00732250"/>
    <w:rsid w:val="0075655C"/>
    <w:rsid w:val="00757FAF"/>
    <w:rsid w:val="00765B30"/>
    <w:rsid w:val="00770F82"/>
    <w:rsid w:val="00774D7F"/>
    <w:rsid w:val="00777E18"/>
    <w:rsid w:val="007859C5"/>
    <w:rsid w:val="00792031"/>
    <w:rsid w:val="007A0792"/>
    <w:rsid w:val="007C02A4"/>
    <w:rsid w:val="007D03CE"/>
    <w:rsid w:val="007D7920"/>
    <w:rsid w:val="007E6617"/>
    <w:rsid w:val="007F2551"/>
    <w:rsid w:val="00810558"/>
    <w:rsid w:val="008305C1"/>
    <w:rsid w:val="0084711E"/>
    <w:rsid w:val="00857515"/>
    <w:rsid w:val="00876803"/>
    <w:rsid w:val="00885C49"/>
    <w:rsid w:val="008B09AB"/>
    <w:rsid w:val="008E11A0"/>
    <w:rsid w:val="008F35EC"/>
    <w:rsid w:val="00900F25"/>
    <w:rsid w:val="009113B1"/>
    <w:rsid w:val="0093466F"/>
    <w:rsid w:val="00941787"/>
    <w:rsid w:val="00955433"/>
    <w:rsid w:val="00973550"/>
    <w:rsid w:val="00986C33"/>
    <w:rsid w:val="00996872"/>
    <w:rsid w:val="009A0CC5"/>
    <w:rsid w:val="009A768E"/>
    <w:rsid w:val="009B0205"/>
    <w:rsid w:val="009C0B13"/>
    <w:rsid w:val="009C4EE0"/>
    <w:rsid w:val="009C4FE8"/>
    <w:rsid w:val="009D415E"/>
    <w:rsid w:val="009D76B4"/>
    <w:rsid w:val="009E6FD9"/>
    <w:rsid w:val="009F4CAF"/>
    <w:rsid w:val="009F5020"/>
    <w:rsid w:val="00A05F60"/>
    <w:rsid w:val="00A338F2"/>
    <w:rsid w:val="00A35C9F"/>
    <w:rsid w:val="00A41E99"/>
    <w:rsid w:val="00A42E63"/>
    <w:rsid w:val="00A51CC0"/>
    <w:rsid w:val="00A56E26"/>
    <w:rsid w:val="00A65A80"/>
    <w:rsid w:val="00A760A3"/>
    <w:rsid w:val="00A76591"/>
    <w:rsid w:val="00A77720"/>
    <w:rsid w:val="00A85E80"/>
    <w:rsid w:val="00A8670D"/>
    <w:rsid w:val="00A926A0"/>
    <w:rsid w:val="00A977D4"/>
    <w:rsid w:val="00A97E95"/>
    <w:rsid w:val="00AA3A89"/>
    <w:rsid w:val="00AA6555"/>
    <w:rsid w:val="00AB0574"/>
    <w:rsid w:val="00AB2BEE"/>
    <w:rsid w:val="00AB30F5"/>
    <w:rsid w:val="00AC5417"/>
    <w:rsid w:val="00AC6EA5"/>
    <w:rsid w:val="00AD23FE"/>
    <w:rsid w:val="00AD244B"/>
    <w:rsid w:val="00AF2377"/>
    <w:rsid w:val="00B16CE6"/>
    <w:rsid w:val="00B23206"/>
    <w:rsid w:val="00B67AD7"/>
    <w:rsid w:val="00B80ED8"/>
    <w:rsid w:val="00B86856"/>
    <w:rsid w:val="00B90199"/>
    <w:rsid w:val="00B93C1B"/>
    <w:rsid w:val="00BA79F4"/>
    <w:rsid w:val="00BB5687"/>
    <w:rsid w:val="00BC53B4"/>
    <w:rsid w:val="00BC6255"/>
    <w:rsid w:val="00C000C4"/>
    <w:rsid w:val="00C0281E"/>
    <w:rsid w:val="00C05C8B"/>
    <w:rsid w:val="00C0649F"/>
    <w:rsid w:val="00C2262B"/>
    <w:rsid w:val="00C27FDC"/>
    <w:rsid w:val="00C30C95"/>
    <w:rsid w:val="00C328EC"/>
    <w:rsid w:val="00C43BDA"/>
    <w:rsid w:val="00C7396D"/>
    <w:rsid w:val="00C75E36"/>
    <w:rsid w:val="00C763A8"/>
    <w:rsid w:val="00C825E4"/>
    <w:rsid w:val="00C92F7A"/>
    <w:rsid w:val="00C95B7C"/>
    <w:rsid w:val="00CA17C9"/>
    <w:rsid w:val="00CA278F"/>
    <w:rsid w:val="00CA775C"/>
    <w:rsid w:val="00CB4E09"/>
    <w:rsid w:val="00CB710A"/>
    <w:rsid w:val="00CC0DDC"/>
    <w:rsid w:val="00CE1627"/>
    <w:rsid w:val="00CE68E9"/>
    <w:rsid w:val="00CF118B"/>
    <w:rsid w:val="00D0442E"/>
    <w:rsid w:val="00D1060F"/>
    <w:rsid w:val="00D1131D"/>
    <w:rsid w:val="00D121C6"/>
    <w:rsid w:val="00D30C6E"/>
    <w:rsid w:val="00D37BAB"/>
    <w:rsid w:val="00D51E3B"/>
    <w:rsid w:val="00D55EE1"/>
    <w:rsid w:val="00D74D7F"/>
    <w:rsid w:val="00D86A4A"/>
    <w:rsid w:val="00D91066"/>
    <w:rsid w:val="00D959C6"/>
    <w:rsid w:val="00DA1531"/>
    <w:rsid w:val="00DA7944"/>
    <w:rsid w:val="00E27A1D"/>
    <w:rsid w:val="00E34EDA"/>
    <w:rsid w:val="00E55FA4"/>
    <w:rsid w:val="00E639BC"/>
    <w:rsid w:val="00E8552E"/>
    <w:rsid w:val="00E93DFB"/>
    <w:rsid w:val="00EA7268"/>
    <w:rsid w:val="00EC0DE1"/>
    <w:rsid w:val="00EC24D1"/>
    <w:rsid w:val="00EC58C8"/>
    <w:rsid w:val="00EC63D0"/>
    <w:rsid w:val="00EF05E2"/>
    <w:rsid w:val="00EF43D7"/>
    <w:rsid w:val="00F10CE0"/>
    <w:rsid w:val="00F17B73"/>
    <w:rsid w:val="00F22D64"/>
    <w:rsid w:val="00F23546"/>
    <w:rsid w:val="00F277B5"/>
    <w:rsid w:val="00F43D2E"/>
    <w:rsid w:val="00F5731F"/>
    <w:rsid w:val="00F67FDD"/>
    <w:rsid w:val="00F71020"/>
    <w:rsid w:val="00F72AF8"/>
    <w:rsid w:val="00F7722D"/>
    <w:rsid w:val="00F80156"/>
    <w:rsid w:val="00F9749B"/>
    <w:rsid w:val="00FA3F76"/>
    <w:rsid w:val="00FA64B4"/>
    <w:rsid w:val="00FB38A2"/>
    <w:rsid w:val="00FB7EF2"/>
    <w:rsid w:val="00FD55A5"/>
    <w:rsid w:val="00FD62DF"/>
    <w:rsid w:val="00FD7D72"/>
    <w:rsid w:val="00FE4CA4"/>
    <w:rsid w:val="02251CB5"/>
    <w:rsid w:val="0290118E"/>
    <w:rsid w:val="02CE3596"/>
    <w:rsid w:val="031540E3"/>
    <w:rsid w:val="034301C5"/>
    <w:rsid w:val="035F7286"/>
    <w:rsid w:val="0467163D"/>
    <w:rsid w:val="059E5BD8"/>
    <w:rsid w:val="06B616D3"/>
    <w:rsid w:val="06FF01C2"/>
    <w:rsid w:val="08A12E48"/>
    <w:rsid w:val="08A172A1"/>
    <w:rsid w:val="091E5D6D"/>
    <w:rsid w:val="09C1735B"/>
    <w:rsid w:val="09D44FC1"/>
    <w:rsid w:val="09F8097E"/>
    <w:rsid w:val="0A46585C"/>
    <w:rsid w:val="0A805ABD"/>
    <w:rsid w:val="0AA80D6A"/>
    <w:rsid w:val="0B3D6797"/>
    <w:rsid w:val="0BE04A65"/>
    <w:rsid w:val="0C882A07"/>
    <w:rsid w:val="0D7F3E0A"/>
    <w:rsid w:val="0EC8521E"/>
    <w:rsid w:val="0EDA1DB4"/>
    <w:rsid w:val="0F6C24AE"/>
    <w:rsid w:val="0F876300"/>
    <w:rsid w:val="0F955B67"/>
    <w:rsid w:val="0FAE3713"/>
    <w:rsid w:val="10C50D3F"/>
    <w:rsid w:val="11285EF4"/>
    <w:rsid w:val="113B15EA"/>
    <w:rsid w:val="12A26DB0"/>
    <w:rsid w:val="133408F7"/>
    <w:rsid w:val="138F2F87"/>
    <w:rsid w:val="13D212C3"/>
    <w:rsid w:val="14383F25"/>
    <w:rsid w:val="149705AB"/>
    <w:rsid w:val="14C218FA"/>
    <w:rsid w:val="15406095"/>
    <w:rsid w:val="15754623"/>
    <w:rsid w:val="15BB741A"/>
    <w:rsid w:val="15C61F79"/>
    <w:rsid w:val="16036A85"/>
    <w:rsid w:val="16BE3EE0"/>
    <w:rsid w:val="17961D12"/>
    <w:rsid w:val="1797418F"/>
    <w:rsid w:val="181538FB"/>
    <w:rsid w:val="182B17CD"/>
    <w:rsid w:val="183028D1"/>
    <w:rsid w:val="19474A1E"/>
    <w:rsid w:val="1A0C522C"/>
    <w:rsid w:val="1A96309B"/>
    <w:rsid w:val="1BB6377E"/>
    <w:rsid w:val="1DE1690F"/>
    <w:rsid w:val="1DF04F32"/>
    <w:rsid w:val="1F334A54"/>
    <w:rsid w:val="1FFE5062"/>
    <w:rsid w:val="200867E8"/>
    <w:rsid w:val="203B7512"/>
    <w:rsid w:val="204C23F5"/>
    <w:rsid w:val="21A67760"/>
    <w:rsid w:val="21CE5B69"/>
    <w:rsid w:val="22404ED9"/>
    <w:rsid w:val="24D81790"/>
    <w:rsid w:val="252A4D65"/>
    <w:rsid w:val="25FA2770"/>
    <w:rsid w:val="272F1FA5"/>
    <w:rsid w:val="276403CB"/>
    <w:rsid w:val="278C6EA4"/>
    <w:rsid w:val="279270B8"/>
    <w:rsid w:val="2859288D"/>
    <w:rsid w:val="285C69FA"/>
    <w:rsid w:val="28764087"/>
    <w:rsid w:val="28C72DDD"/>
    <w:rsid w:val="2905396E"/>
    <w:rsid w:val="2A084DBF"/>
    <w:rsid w:val="2A782EBD"/>
    <w:rsid w:val="2AEB1FCF"/>
    <w:rsid w:val="2B681F2A"/>
    <w:rsid w:val="2BC76A39"/>
    <w:rsid w:val="2C982CB6"/>
    <w:rsid w:val="2DAA05D8"/>
    <w:rsid w:val="2F73653C"/>
    <w:rsid w:val="2F7B7A57"/>
    <w:rsid w:val="2FEF6701"/>
    <w:rsid w:val="30D342E9"/>
    <w:rsid w:val="30F0509B"/>
    <w:rsid w:val="31246013"/>
    <w:rsid w:val="31521EF1"/>
    <w:rsid w:val="32230856"/>
    <w:rsid w:val="32824A40"/>
    <w:rsid w:val="32DF0A5D"/>
    <w:rsid w:val="343B1565"/>
    <w:rsid w:val="3477117B"/>
    <w:rsid w:val="347B2CCE"/>
    <w:rsid w:val="355575E0"/>
    <w:rsid w:val="35A677DF"/>
    <w:rsid w:val="35E64082"/>
    <w:rsid w:val="36851BE2"/>
    <w:rsid w:val="37194ECE"/>
    <w:rsid w:val="375F668E"/>
    <w:rsid w:val="37A739D4"/>
    <w:rsid w:val="37D22C05"/>
    <w:rsid w:val="38233460"/>
    <w:rsid w:val="38571BCD"/>
    <w:rsid w:val="38A73623"/>
    <w:rsid w:val="39551FA1"/>
    <w:rsid w:val="395CB793"/>
    <w:rsid w:val="39E811EB"/>
    <w:rsid w:val="3A267238"/>
    <w:rsid w:val="3A7C48FD"/>
    <w:rsid w:val="3BC0137E"/>
    <w:rsid w:val="3BD76AC6"/>
    <w:rsid w:val="3DB00F27"/>
    <w:rsid w:val="3E143861"/>
    <w:rsid w:val="3EFFDCD9"/>
    <w:rsid w:val="3FD14A0E"/>
    <w:rsid w:val="3FD414E4"/>
    <w:rsid w:val="41A40581"/>
    <w:rsid w:val="41F42FCE"/>
    <w:rsid w:val="42043080"/>
    <w:rsid w:val="428C60A6"/>
    <w:rsid w:val="42C25B10"/>
    <w:rsid w:val="430A4998"/>
    <w:rsid w:val="432C4745"/>
    <w:rsid w:val="43412211"/>
    <w:rsid w:val="44A64CC8"/>
    <w:rsid w:val="44DB3C1C"/>
    <w:rsid w:val="45376F1C"/>
    <w:rsid w:val="45806396"/>
    <w:rsid w:val="46051C71"/>
    <w:rsid w:val="462E594E"/>
    <w:rsid w:val="464F7765"/>
    <w:rsid w:val="46AF53E9"/>
    <w:rsid w:val="46FA3F26"/>
    <w:rsid w:val="47895517"/>
    <w:rsid w:val="48B42328"/>
    <w:rsid w:val="48E670B5"/>
    <w:rsid w:val="496746AD"/>
    <w:rsid w:val="49F067AF"/>
    <w:rsid w:val="4B6C5F5F"/>
    <w:rsid w:val="4BA91A77"/>
    <w:rsid w:val="4BCE4EC9"/>
    <w:rsid w:val="4C86434F"/>
    <w:rsid w:val="4D0E0D7B"/>
    <w:rsid w:val="4F07613E"/>
    <w:rsid w:val="4FE17A31"/>
    <w:rsid w:val="502C1E79"/>
    <w:rsid w:val="50330BE6"/>
    <w:rsid w:val="50FB0FC7"/>
    <w:rsid w:val="51704A25"/>
    <w:rsid w:val="51FE06B3"/>
    <w:rsid w:val="52412577"/>
    <w:rsid w:val="52FC4B82"/>
    <w:rsid w:val="53DF1099"/>
    <w:rsid w:val="54947571"/>
    <w:rsid w:val="557D644E"/>
    <w:rsid w:val="5588094F"/>
    <w:rsid w:val="574F1ACC"/>
    <w:rsid w:val="57F75901"/>
    <w:rsid w:val="58AD0DF8"/>
    <w:rsid w:val="58F03289"/>
    <w:rsid w:val="59AB7B9C"/>
    <w:rsid w:val="5A89319F"/>
    <w:rsid w:val="5A8C24B2"/>
    <w:rsid w:val="5B931316"/>
    <w:rsid w:val="5B9F45CC"/>
    <w:rsid w:val="5BBC0651"/>
    <w:rsid w:val="5C735424"/>
    <w:rsid w:val="5CD74C43"/>
    <w:rsid w:val="5D494E68"/>
    <w:rsid w:val="5DAA5506"/>
    <w:rsid w:val="5E9406BE"/>
    <w:rsid w:val="5EB32EE1"/>
    <w:rsid w:val="5EF402B8"/>
    <w:rsid w:val="5F011E9E"/>
    <w:rsid w:val="60732927"/>
    <w:rsid w:val="61306A6A"/>
    <w:rsid w:val="6238444A"/>
    <w:rsid w:val="626208C7"/>
    <w:rsid w:val="626A79D9"/>
    <w:rsid w:val="62E93AFB"/>
    <w:rsid w:val="63A14DBD"/>
    <w:rsid w:val="63C50D83"/>
    <w:rsid w:val="64690602"/>
    <w:rsid w:val="65537714"/>
    <w:rsid w:val="657038D9"/>
    <w:rsid w:val="65EE13E0"/>
    <w:rsid w:val="6679056C"/>
    <w:rsid w:val="66B72759"/>
    <w:rsid w:val="67356C39"/>
    <w:rsid w:val="67780823"/>
    <w:rsid w:val="685A6B84"/>
    <w:rsid w:val="68925AA2"/>
    <w:rsid w:val="69011CAF"/>
    <w:rsid w:val="69F41A32"/>
    <w:rsid w:val="6A2E5793"/>
    <w:rsid w:val="6BC53CE9"/>
    <w:rsid w:val="6BEB4E22"/>
    <w:rsid w:val="6BED16F7"/>
    <w:rsid w:val="6C4B6506"/>
    <w:rsid w:val="6C586093"/>
    <w:rsid w:val="6CFC2481"/>
    <w:rsid w:val="6D5910F7"/>
    <w:rsid w:val="6E114623"/>
    <w:rsid w:val="6E2C46CD"/>
    <w:rsid w:val="6F9B084B"/>
    <w:rsid w:val="6F9E5721"/>
    <w:rsid w:val="70A624FE"/>
    <w:rsid w:val="717D61F2"/>
    <w:rsid w:val="71B20F9E"/>
    <w:rsid w:val="71CB5BE5"/>
    <w:rsid w:val="71E75F84"/>
    <w:rsid w:val="72837006"/>
    <w:rsid w:val="73846116"/>
    <w:rsid w:val="738E634B"/>
    <w:rsid w:val="741C66DE"/>
    <w:rsid w:val="75EFFD4A"/>
    <w:rsid w:val="761E6F93"/>
    <w:rsid w:val="76C8536C"/>
    <w:rsid w:val="79A8346A"/>
    <w:rsid w:val="79FD0B59"/>
    <w:rsid w:val="7B0D5B90"/>
    <w:rsid w:val="7BAC5560"/>
    <w:rsid w:val="7BEB0A04"/>
    <w:rsid w:val="7C887303"/>
    <w:rsid w:val="7DE93DD1"/>
    <w:rsid w:val="7DFD47EA"/>
    <w:rsid w:val="7DFF53A3"/>
    <w:rsid w:val="7E3ECBE5"/>
    <w:rsid w:val="7E7C3015"/>
    <w:rsid w:val="7E953F59"/>
    <w:rsid w:val="7EF02F3D"/>
    <w:rsid w:val="7EFF097D"/>
    <w:rsid w:val="7F3207F2"/>
    <w:rsid w:val="7FD7AA5E"/>
    <w:rsid w:val="8DBB0798"/>
    <w:rsid w:val="8FBDA64B"/>
    <w:rsid w:val="9BDBAB4E"/>
    <w:rsid w:val="B7FB7348"/>
    <w:rsid w:val="BE57FC10"/>
    <w:rsid w:val="BFF4AFE8"/>
    <w:rsid w:val="DBE3262F"/>
    <w:rsid w:val="E37F81A1"/>
    <w:rsid w:val="EEEDBD05"/>
    <w:rsid w:val="F76F8A92"/>
    <w:rsid w:val="FDBE2A35"/>
    <w:rsid w:val="FEAF98DD"/>
    <w:rsid w:val="FF362E1A"/>
    <w:rsid w:val="FFCD68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Body Text Indent"/>
    <w:basedOn w:val="1"/>
    <w:unhideWhenUsed/>
    <w:qFormat/>
    <w:uiPriority w:val="99"/>
    <w:pPr>
      <w:spacing w:after="120"/>
      <w:ind w:left="420" w:leftChars="200"/>
    </w:pPr>
  </w:style>
  <w:style w:type="paragraph" w:styleId="4">
    <w:name w:val="Balloon Text"/>
    <w:basedOn w:val="1"/>
    <w:link w:val="14"/>
    <w:qFormat/>
    <w:uiPriority w:val="0"/>
    <w:rPr>
      <w:sz w:val="18"/>
      <w:szCs w:val="18"/>
    </w:rPr>
  </w:style>
  <w:style w:type="paragraph" w:styleId="5">
    <w:name w:val="footer"/>
    <w:basedOn w:val="1"/>
    <w:link w:val="15"/>
    <w:unhideWhenUsed/>
    <w:qFormat/>
    <w:uiPriority w:val="0"/>
    <w:pPr>
      <w:tabs>
        <w:tab w:val="center" w:pos="4153"/>
        <w:tab w:val="right" w:pos="8306"/>
      </w:tabs>
      <w:snapToGrid w:val="0"/>
      <w:jc w:val="left"/>
    </w:pPr>
    <w:rPr>
      <w:sz w:val="18"/>
      <w:szCs w:val="18"/>
    </w:rPr>
  </w:style>
  <w:style w:type="paragraph" w:styleId="6">
    <w:name w:val="header"/>
    <w:basedOn w:val="1"/>
    <w:link w:val="16"/>
    <w:unhideWhenUsed/>
    <w:qFormat/>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0"/>
    <w:pPr>
      <w:widowControl/>
      <w:spacing w:before="100" w:beforeAutospacing="1" w:after="100" w:afterAutospacing="1"/>
      <w:jc w:val="left"/>
    </w:pPr>
    <w:rPr>
      <w:rFonts w:ascii="宋体" w:hAnsi="宋体"/>
      <w:kern w:val="0"/>
      <w:sz w:val="24"/>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page number"/>
    <w:qFormat/>
    <w:uiPriority w:val="0"/>
  </w:style>
  <w:style w:type="character" w:styleId="12">
    <w:name w:val="Hyperlink"/>
    <w:unhideWhenUsed/>
    <w:qFormat/>
    <w:uiPriority w:val="0"/>
    <w:rPr>
      <w:color w:val="4646A3"/>
      <w:u w:val="none"/>
    </w:rPr>
  </w:style>
  <w:style w:type="character" w:styleId="13">
    <w:name w:val="annotation reference"/>
    <w:basedOn w:val="10"/>
    <w:qFormat/>
    <w:uiPriority w:val="0"/>
    <w:rPr>
      <w:sz w:val="21"/>
      <w:szCs w:val="21"/>
    </w:rPr>
  </w:style>
  <w:style w:type="character" w:customStyle="1" w:styleId="14">
    <w:name w:val="批注框文本 字符"/>
    <w:link w:val="4"/>
    <w:qFormat/>
    <w:uiPriority w:val="0"/>
    <w:rPr>
      <w:rFonts w:ascii="Calibri" w:hAnsi="Calibri"/>
      <w:kern w:val="2"/>
      <w:sz w:val="18"/>
      <w:szCs w:val="18"/>
    </w:rPr>
  </w:style>
  <w:style w:type="character" w:customStyle="1" w:styleId="15">
    <w:name w:val="页脚 字符"/>
    <w:link w:val="5"/>
    <w:semiHidden/>
    <w:qFormat/>
    <w:uiPriority w:val="0"/>
    <w:rPr>
      <w:rFonts w:ascii="Calibri" w:hAnsi="Calibri" w:eastAsia="宋体"/>
      <w:kern w:val="2"/>
      <w:sz w:val="18"/>
      <w:szCs w:val="18"/>
      <w:lang w:val="en-US" w:eastAsia="zh-CN" w:bidi="ar-SA"/>
    </w:rPr>
  </w:style>
  <w:style w:type="character" w:customStyle="1" w:styleId="16">
    <w:name w:val="页眉 字符"/>
    <w:link w:val="6"/>
    <w:semiHidden/>
    <w:qFormat/>
    <w:uiPriority w:val="0"/>
    <w:rPr>
      <w:rFonts w:ascii="Calibri" w:hAnsi="Calibri" w:eastAsia="宋体"/>
      <w:kern w:val="2"/>
      <w:sz w:val="18"/>
      <w:szCs w:val="18"/>
      <w:lang w:val="en-US" w:eastAsia="zh-CN" w:bidi="ar-SA"/>
    </w:rPr>
  </w:style>
  <w:style w:type="paragraph" w:styleId="17">
    <w:name w:val="List Paragraph"/>
    <w:basedOn w:val="1"/>
    <w:qFormat/>
    <w:uiPriority w:val="0"/>
    <w:pPr>
      <w:ind w:firstLine="420" w:firstLineChars="200"/>
    </w:pPr>
  </w:style>
  <w:style w:type="paragraph" w:customStyle="1" w:styleId="18">
    <w:name w:val="Revision"/>
    <w:unhideWhenUsed/>
    <w:qFormat/>
    <w:uiPriority w:val="99"/>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BGS</Company>
  <Pages>38</Pages>
  <Words>16137</Words>
  <Characters>16603</Characters>
  <Lines>127</Lines>
  <Paragraphs>35</Paragraphs>
  <TotalTime>31</TotalTime>
  <ScaleCrop>false</ScaleCrop>
  <LinksUpToDate>false</LinksUpToDate>
  <CharactersWithSpaces>17998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2023-01-02T15:06:00Z</dcterms:created>
  <dc:creator>HeZe</dc:creator>
  <cp:lastModifiedBy>tsj</cp:lastModifiedBy>
  <cp:lastPrinted>2025-10-17T03:28:00Z</cp:lastPrinted>
  <dcterms:modified xsi:type="dcterms:W3CDTF">2025-12-25T09:43:25Z</dcterms:modified>
  <dc:title>房屋租赁合同</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4342BDDA666240D0864D41488CB66A89_13</vt:lpwstr>
  </property>
  <property fmtid="{D5CDD505-2E9C-101B-9397-08002B2CF9AE}" pid="4" name="KSOTemplateDocerSaveRecord">
    <vt:lpwstr>eyJoZGlkIjoiNmEyMGVlMTZhZjM2MTA3NzJlOTNmODZiNmYwZGM5OTIiLCJ1c2VySWQiOiIxNDMzMjk0OTcyIn0=</vt:lpwstr>
  </property>
</Properties>
</file>