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杭州市上城区邻居中心元宝塘店301、302、303房屋租赁权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rPr>
        <w:t>租赁房屋不动产登记清单证载用途</w:t>
      </w:r>
      <w:r>
        <w:rPr>
          <w:rFonts w:hint="eastAsia" w:eastAsia="宋体"/>
          <w:highlight w:val="none"/>
          <w:lang w:val="en-US" w:eastAsia="zh-CN"/>
        </w:rPr>
        <w:t>分别为公共设施用途/社区文化服务中心、居住区配套管理用房、街道办及公共设施用途/青少年科技馆，权利性质为划拨/其他</w:t>
      </w:r>
      <w:r>
        <w:rPr>
          <w:rFonts w:hint="eastAsia"/>
        </w:rPr>
        <w:t>。</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宋体"/>
          <w:sz w:val="21"/>
          <w:szCs w:val="21"/>
        </w:rPr>
        <w:t>各年累计租金在800万元以下，按照各年累计租金的2%收取，各年累计租金在800万元以上的，按照各年累计租金的1.5%收取。如仅一位意向承租方报名且成交的，可按以上收费标准减半收取。</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3AA6ABA"/>
    <w:rsid w:val="25526291"/>
    <w:rsid w:val="25B34C3E"/>
    <w:rsid w:val="2731534B"/>
    <w:rsid w:val="279515A0"/>
    <w:rsid w:val="28CD421D"/>
    <w:rsid w:val="29064147"/>
    <w:rsid w:val="2B224A23"/>
    <w:rsid w:val="2BD51F6B"/>
    <w:rsid w:val="2BEE0A70"/>
    <w:rsid w:val="2CC14BC5"/>
    <w:rsid w:val="2DE64B98"/>
    <w:rsid w:val="2E6953D9"/>
    <w:rsid w:val="332613DB"/>
    <w:rsid w:val="3480309A"/>
    <w:rsid w:val="35202E1B"/>
    <w:rsid w:val="37EE6352"/>
    <w:rsid w:val="382052E5"/>
    <w:rsid w:val="39601966"/>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13709F7"/>
    <w:rsid w:val="633A51EB"/>
    <w:rsid w:val="651B5588"/>
    <w:rsid w:val="657C12B1"/>
    <w:rsid w:val="66AB1603"/>
    <w:rsid w:val="66F30663"/>
    <w:rsid w:val="68026233"/>
    <w:rsid w:val="6804343D"/>
    <w:rsid w:val="68FE0BB2"/>
    <w:rsid w:val="6A2F474B"/>
    <w:rsid w:val="6D1B0EA5"/>
    <w:rsid w:val="6D511A93"/>
    <w:rsid w:val="6E5F07A0"/>
    <w:rsid w:val="6EB8377C"/>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2025-12-26T04:32:29Z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