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杭州市拱墅区湖墅南路412号</w:t>
      </w:r>
      <w:bookmarkStart w:id="0" w:name="_GoBack"/>
      <w:bookmarkEnd w:id="0"/>
      <w:r>
        <w:rPr>
          <w:rFonts w:hint="eastAsia" w:asciiTheme="minorEastAsia" w:hAnsiTheme="minorEastAsia" w:eastAsiaTheme="minorEastAsia" w:cstheme="minorEastAsia"/>
          <w:sz w:val="20"/>
          <w:szCs w:val="20"/>
          <w:highlight w:val="none"/>
          <w:u w:val="single"/>
        </w:rPr>
        <w:t>房屋5年租赁权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房产租赁安全管理责任书》签署当天支付租赁保证金至出租方指定账户，须在《房屋租赁合同》签署之日起3日内支付首期租金至出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（2）同意承租方已付的交易保证金直接转为交易服务费，剩余部分由杭交所凭双方签署的《房屋租赁合同》或租金发票等相应凭证支付至承租方指定账户。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租赁期间，承租方经营必须符合出租方统一经营业态，按申报内容合法经营，如改变经营内容，必须取得出租方书面同意。</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（5）出租方与承租方交付、接收租赁房屋时，应当签署一份交接书，交接书应当载明交接日期及租赁房屋之状况；交接书一旦签署，视同承租方已实际取得租赁房屋使用权，则双方的交付、接收义务立即完成。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承租方如需申请制作与其经营业务相关的标识或广告，应事先将制作方案书面提交出租方审核，征得出租方书面同意后，按规定向政府有关部门报批，经政府部门批准后方可进行实施。承租方未经出租方或政府有关部门审批同意，不得擅自在该房屋的任何部位设立文字、图案等标识或广告等宣传物品。一经发现，承租方必须及时拆除，否则按违约处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如因承租方设置的广告、标识等物件致使任何第三方人身损害、财产损失的，则由此所产生的一切法律后果及经济赔偿全部由承租方承担。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（11）租赁期限内，未经出租方书面同意及有关部门批准，承租方不得擅自改变房屋用途和经营内容。</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租赁期限内，未经出租方书面同意及有关部门批准，承租方不得擅自更改或拆除租赁房屋的主体结构，或其任何部分或任何附属设施导致房屋无法正常使用；或严重损坏租赁场所内的附属设施、公共区域或公共设施。</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（13）出租方与承租方的权利义务详见《房屋租赁合同》（样本）。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(1)本次交易有二个及以上意向承租方报名且成交的，承租方须缴纳按各年年租金累计额2%计的交易服务费;</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(2)本次交易只有一位意向承租方报名且成交的，承租方须缴纳各年年租金累计额1%计的交易服务费。</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2FFD2839"/>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FB72E77"/>
    <w:rsid w:val="9993150A"/>
    <w:rsid w:val="9FE7DE8D"/>
    <w:rsid w:val="BDF7692C"/>
    <w:rsid w:val="DB7DC7A7"/>
    <w:rsid w:val="EBED4EFC"/>
    <w:rsid w:val="F8379502"/>
    <w:rsid w:val="FD3A1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2020-04-12T09:14:00Z</dcterms:created>
  <dc:creator>zxy</dc:creator>
  <cp:lastModifiedBy>xuanjn</cp:lastModifiedBy>
  <dcterms:modified xsi:type="dcterms:W3CDTF">2025-12-17T10:54:52Z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