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承租</w:t>
      </w:r>
      <w:r>
        <w:rPr>
          <w:rFonts w:hint="eastAsia" w:asciiTheme="minorEastAsia" w:hAnsiTheme="minorEastAsia" w:eastAsiaTheme="minorEastAsia" w:cstheme="minorEastAsia"/>
          <w:sz w:val="21"/>
          <w:szCs w:val="21"/>
          <w:highlight w:val="none"/>
          <w:u w:val="none"/>
          <w:lang w:val="en-US" w:eastAsia="zh-CN"/>
        </w:rPr>
        <w:t>三潭印月我心相印亭西侧等4处商业网点1年租赁权</w:t>
      </w:r>
      <w:bookmarkStart w:id="0" w:name="_GoBack"/>
      <w:bookmarkEnd w:id="0"/>
      <w:r>
        <w:rPr>
          <w:rFonts w:hint="eastAsia" w:asciiTheme="minorEastAsia" w:hAnsiTheme="minorEastAsia" w:eastAsiaTheme="minorEastAsia" w:cstheme="minorEastAsia"/>
          <w:sz w:val="21"/>
          <w:szCs w:val="21"/>
          <w:highlight w:val="none"/>
        </w:rPr>
        <w:t>项目，现做如下承诺：</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eastAsia="宋体" w:asciiTheme="minorEastAsia" w:hAnsiTheme="minorEastAsia"/>
          <w:sz w:val="21"/>
          <w:szCs w:val="21"/>
          <w:highlight w:val="none"/>
          <w:lang w:eastAsia="zh-CN"/>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宋体" w:hAnsi="宋体"/>
          <w:sz w:val="21"/>
          <w:szCs w:val="21"/>
          <w:highlight w:val="none"/>
        </w:rPr>
        <w:t>同意</w:t>
      </w:r>
      <w:r>
        <w:rPr>
          <w:rFonts w:ascii="宋体" w:hAnsi="宋体"/>
          <w:sz w:val="21"/>
          <w:szCs w:val="21"/>
          <w:highlight w:val="none"/>
        </w:rPr>
        <w:t>在被确</w:t>
      </w:r>
      <w:r>
        <w:rPr>
          <w:rFonts w:hint="eastAsia" w:ascii="宋体" w:hAnsi="宋体"/>
          <w:sz w:val="21"/>
          <w:szCs w:val="21"/>
          <w:highlight w:val="none"/>
        </w:rPr>
        <w:t>定</w:t>
      </w:r>
      <w:r>
        <w:rPr>
          <w:rFonts w:ascii="宋体" w:hAnsi="宋体"/>
          <w:sz w:val="21"/>
          <w:szCs w:val="21"/>
          <w:highlight w:val="none"/>
        </w:rPr>
        <w:t>为</w:t>
      </w:r>
      <w:r>
        <w:rPr>
          <w:rFonts w:hint="eastAsia" w:ascii="宋体" w:hAnsi="宋体"/>
          <w:sz w:val="21"/>
          <w:szCs w:val="21"/>
          <w:highlight w:val="none"/>
        </w:rPr>
        <w:t>承租</w:t>
      </w:r>
      <w:r>
        <w:rPr>
          <w:rFonts w:ascii="宋体" w:hAnsi="宋体"/>
          <w:sz w:val="21"/>
          <w:szCs w:val="21"/>
          <w:highlight w:val="none"/>
        </w:rPr>
        <w:t>方</w:t>
      </w:r>
      <w:r>
        <w:rPr>
          <w:rFonts w:hint="eastAsia" w:ascii="宋体" w:hAnsi="宋体"/>
          <w:sz w:val="21"/>
          <w:szCs w:val="21"/>
          <w:highlight w:val="none"/>
          <w:lang w:val="en-US" w:eastAsia="zh-CN"/>
        </w:rPr>
        <w:t>之</w:t>
      </w:r>
      <w:r>
        <w:rPr>
          <w:rFonts w:hint="eastAsia" w:ascii="宋体" w:hAnsi="宋体"/>
          <w:sz w:val="21"/>
          <w:szCs w:val="21"/>
          <w:highlight w:val="none"/>
        </w:rPr>
        <w:t>日</w:t>
      </w:r>
      <w:r>
        <w:rPr>
          <w:rFonts w:ascii="宋体" w:hAnsi="宋体"/>
          <w:sz w:val="21"/>
          <w:szCs w:val="21"/>
          <w:highlight w:val="none"/>
        </w:rPr>
        <w:t>起</w:t>
      </w:r>
      <w:r>
        <w:rPr>
          <w:rFonts w:hint="eastAsia" w:ascii="宋体" w:hAnsi="宋体"/>
          <w:sz w:val="21"/>
          <w:szCs w:val="21"/>
          <w:highlight w:val="none"/>
          <w:u w:val="single"/>
          <w:lang w:val="en-US" w:eastAsia="zh-CN"/>
        </w:rPr>
        <w:t>3</w:t>
      </w:r>
      <w:r>
        <w:rPr>
          <w:rFonts w:ascii="宋体" w:hAnsi="宋体"/>
          <w:sz w:val="21"/>
          <w:szCs w:val="21"/>
          <w:highlight w:val="none"/>
        </w:rPr>
        <w:t>个工作日内</w:t>
      </w:r>
      <w:r>
        <w:rPr>
          <w:rFonts w:hint="eastAsia" w:ascii="宋体" w:hAnsi="宋体"/>
          <w:sz w:val="21"/>
          <w:szCs w:val="21"/>
          <w:highlight w:val="none"/>
          <w:lang w:eastAsia="zh-CN"/>
        </w:rPr>
        <w:t>，</w:t>
      </w:r>
      <w:r>
        <w:rPr>
          <w:rFonts w:hint="eastAsia" w:ascii="宋体" w:hAnsi="宋体"/>
          <w:sz w:val="21"/>
          <w:szCs w:val="21"/>
          <w:highlight w:val="none"/>
          <w:lang w:val="en-US" w:eastAsia="zh-CN"/>
        </w:rPr>
        <w:t>携带承租申请材料原件到杭交所完成现场确认并</w:t>
      </w:r>
      <w:r>
        <w:rPr>
          <w:rFonts w:hint="eastAsia" w:ascii="宋体" w:hAnsi="宋体"/>
          <w:sz w:val="21"/>
          <w:szCs w:val="21"/>
          <w:highlight w:val="none"/>
        </w:rPr>
        <w:t>签署</w:t>
      </w:r>
      <w:r>
        <w:rPr>
          <w:rFonts w:ascii="宋体" w:hAnsi="宋体"/>
          <w:sz w:val="21"/>
          <w:szCs w:val="21"/>
          <w:highlight w:val="none"/>
          <w:u w:val="single"/>
        </w:rPr>
        <w:t>《</w:t>
      </w:r>
      <w:r>
        <w:rPr>
          <w:rFonts w:hint="eastAsia" w:ascii="宋体" w:hAnsi="宋体"/>
          <w:sz w:val="21"/>
          <w:szCs w:val="21"/>
          <w:highlight w:val="none"/>
          <w:u w:val="single"/>
        </w:rPr>
        <w:t>商业网点租赁合同</w:t>
      </w:r>
      <w:r>
        <w:rPr>
          <w:rFonts w:ascii="宋体" w:hAnsi="宋体"/>
          <w:sz w:val="21"/>
          <w:szCs w:val="21"/>
          <w:highlight w:val="none"/>
          <w:u w:val="single"/>
        </w:rPr>
        <w:t>》</w:t>
      </w:r>
      <w:r>
        <w:rPr>
          <w:rFonts w:hint="eastAsia" w:ascii="宋体" w:hAnsi="宋体"/>
          <w:sz w:val="21"/>
          <w:szCs w:val="21"/>
          <w:highlight w:val="none"/>
        </w:rPr>
        <w:t>；并在</w:t>
      </w:r>
      <w:r>
        <w:rPr>
          <w:rFonts w:ascii="宋体" w:hAnsi="宋体"/>
          <w:sz w:val="21"/>
          <w:szCs w:val="21"/>
          <w:highlight w:val="none"/>
          <w:u w:val="none"/>
        </w:rPr>
        <w:t>《</w:t>
      </w:r>
      <w:r>
        <w:rPr>
          <w:rFonts w:hint="eastAsia" w:ascii="宋体" w:hAnsi="宋体"/>
          <w:szCs w:val="21"/>
          <w:highlight w:val="none"/>
          <w:u w:val="none"/>
          <w:lang w:val="en-US" w:eastAsia="zh-CN"/>
        </w:rPr>
        <w:t>商业网点租赁合同</w:t>
      </w:r>
      <w:r>
        <w:rPr>
          <w:rFonts w:ascii="宋体" w:hAnsi="宋体"/>
          <w:sz w:val="21"/>
          <w:szCs w:val="21"/>
          <w:highlight w:val="none"/>
          <w:u w:val="none"/>
        </w:rPr>
        <w:t>》</w:t>
      </w:r>
      <w:r>
        <w:rPr>
          <w:rFonts w:hint="eastAsia" w:ascii="宋体" w:hAnsi="宋体"/>
          <w:sz w:val="21"/>
          <w:szCs w:val="21"/>
          <w:highlight w:val="none"/>
        </w:rPr>
        <w:t>签署</w:t>
      </w:r>
      <w:r>
        <w:rPr>
          <w:rFonts w:hint="eastAsia" w:ascii="宋体" w:hAnsi="宋体"/>
          <w:sz w:val="21"/>
          <w:szCs w:val="21"/>
          <w:highlight w:val="none"/>
          <w:lang w:val="en-US" w:eastAsia="zh-CN"/>
        </w:rPr>
        <w:t>之</w:t>
      </w:r>
      <w:r>
        <w:rPr>
          <w:rFonts w:ascii="宋体" w:hAnsi="宋体"/>
          <w:sz w:val="21"/>
          <w:szCs w:val="21"/>
          <w:highlight w:val="none"/>
        </w:rPr>
        <w:t>日起</w:t>
      </w:r>
      <w:r>
        <w:rPr>
          <w:rFonts w:hint="eastAsia" w:ascii="宋体" w:hAnsi="宋体"/>
          <w:sz w:val="21"/>
          <w:szCs w:val="21"/>
          <w:highlight w:val="none"/>
          <w:u w:val="single"/>
          <w:lang w:val="en-US" w:eastAsia="zh-CN"/>
        </w:rPr>
        <w:t>3</w:t>
      </w:r>
      <w:r>
        <w:rPr>
          <w:rFonts w:ascii="宋体" w:hAnsi="宋体"/>
          <w:sz w:val="21"/>
          <w:szCs w:val="21"/>
          <w:highlight w:val="none"/>
        </w:rPr>
        <w:t>个工作日内</w:t>
      </w:r>
      <w:r>
        <w:rPr>
          <w:rFonts w:ascii="宋体" w:hAnsi="宋体" w:eastAsia="宋体"/>
          <w:sz w:val="21"/>
          <w:szCs w:val="21"/>
          <w:highlight w:val="none"/>
        </w:rPr>
        <w:t>向杭交所指定账户一次性支付</w:t>
      </w:r>
      <w:r>
        <w:rPr>
          <w:rFonts w:ascii="宋体" w:hAnsi="宋体" w:eastAsia="宋体"/>
          <w:sz w:val="21"/>
          <w:szCs w:val="21"/>
          <w:highlight w:val="none"/>
          <w:u w:val="single"/>
        </w:rPr>
        <w:t>交易服务费</w:t>
      </w:r>
      <w:r>
        <w:rPr>
          <w:rFonts w:hint="eastAsia" w:ascii="宋体" w:hAnsi="宋体" w:eastAsia="宋体"/>
          <w:sz w:val="21"/>
          <w:szCs w:val="21"/>
          <w:highlight w:val="none"/>
          <w:u w:val="single"/>
        </w:rPr>
        <w:t>、</w:t>
      </w:r>
      <w:r>
        <w:rPr>
          <w:rFonts w:hint="eastAsia" w:ascii="宋体" w:hAnsi="宋体" w:eastAsia="宋体"/>
          <w:sz w:val="21"/>
          <w:szCs w:val="21"/>
          <w:highlight w:val="none"/>
          <w:u w:val="single"/>
          <w:lang w:val="en-US" w:eastAsia="zh-CN"/>
        </w:rPr>
        <w:t>履约保证金、首期租金</w:t>
      </w:r>
      <w:r>
        <w:rPr>
          <w:rFonts w:ascii="宋体" w:hAnsi="宋体" w:eastAsia="宋体"/>
          <w:sz w:val="21"/>
          <w:szCs w:val="21"/>
          <w:highlight w:val="none"/>
        </w:rPr>
        <w:t>等交易资金（以到账时间为准）</w:t>
      </w:r>
      <w:r>
        <w:rPr>
          <w:rFonts w:hint="eastAsia" w:ascii="宋体" w:hAnsi="宋体" w:eastAsia="宋体"/>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4、我方同意杭交所在经出租方申请之日起3个工作日内将承租方已交纳的首期租金、履约保证金全部划转至出租方指定账户。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eastAsia="宋体" w:asciiTheme="minorEastAsia" w:hAnsi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w:t>
      </w:r>
      <w:r>
        <w:rPr>
          <w:rFonts w:hint="eastAsia" w:ascii="宋体" w:hAnsi="宋体"/>
          <w:color w:val="auto"/>
          <w:sz w:val="21"/>
          <w:szCs w:val="21"/>
          <w:highlight w:val="none"/>
        </w:rPr>
        <w:t>承租方保证在该租赁房屋所规定的用途范围内，按国家规定和《房屋租赁合同》及其附件约定依法经营，自行负责办理相关手续和支付相关费用，且按相关规定依法办理开业的证照等审批手续，否则视承租方违约</w:t>
      </w:r>
      <w:r>
        <w:rPr>
          <w:rFonts w:hint="eastAsia" w:ascii="宋体" w:hAnsi="宋体"/>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color w:val="auto"/>
          <w:sz w:val="24"/>
        </w:rPr>
      </w:pPr>
      <w:r>
        <w:rPr>
          <w:rFonts w:hint="eastAsia" w:asciiTheme="minorEastAsia" w:hAnsiTheme="minorEastAsia" w:eastAsiaTheme="minorEastAsia" w:cstheme="minorEastAsia"/>
          <w:sz w:val="21"/>
          <w:szCs w:val="21"/>
          <w:highlight w:val="none"/>
          <w:lang w:val="en-US" w:eastAsia="zh-CN"/>
        </w:rPr>
        <w:t>6、</w:t>
      </w:r>
      <w:r>
        <w:rPr>
          <w:rFonts w:hint="eastAsia" w:ascii="宋体" w:hAnsi="宋体"/>
          <w:sz w:val="21"/>
          <w:szCs w:val="21"/>
          <w:highlight w:val="none"/>
        </w:rPr>
        <w:t>出租方对于租赁业态的要求仅系按照整体经营目标设定，不构成出租方对于满足该业态的任何实质或预期承诺。承租方须在承租前自行对租赁</w:t>
      </w:r>
      <w:r>
        <w:rPr>
          <w:rFonts w:hint="eastAsia" w:ascii="宋体" w:hAnsi="宋体"/>
          <w:sz w:val="21"/>
          <w:szCs w:val="21"/>
          <w:highlight w:val="none"/>
          <w:lang w:val="en-US" w:eastAsia="zh-CN"/>
        </w:rPr>
        <w:t>房屋</w:t>
      </w:r>
      <w:r>
        <w:rPr>
          <w:rFonts w:hint="eastAsia" w:ascii="宋体" w:hAnsi="宋体"/>
          <w:sz w:val="21"/>
          <w:szCs w:val="21"/>
          <w:highlight w:val="none"/>
        </w:rPr>
        <w:t>进行全面了解，并对营业所需的各项审批条件和规定进行充分自核。承租方参与竞租的行为将被认为已作充分的预判和决策，无论因何种原因导致不能获得营业开设审批（包括</w:t>
      </w:r>
      <w:r>
        <w:rPr>
          <w:rFonts w:hint="eastAsia" w:ascii="宋体" w:hAnsi="宋体"/>
          <w:sz w:val="21"/>
          <w:szCs w:val="21"/>
          <w:highlight w:val="none"/>
          <w:lang w:val="en-US" w:eastAsia="zh-CN"/>
        </w:rPr>
        <w:t>租赁房屋</w:t>
      </w:r>
      <w:r>
        <w:rPr>
          <w:rFonts w:hint="eastAsia" w:ascii="宋体" w:hAnsi="宋体"/>
          <w:sz w:val="21"/>
          <w:szCs w:val="21"/>
          <w:highlight w:val="none"/>
        </w:rPr>
        <w:t>规划用途和</w:t>
      </w:r>
      <w:r>
        <w:rPr>
          <w:rFonts w:hint="eastAsia" w:ascii="宋体" w:hAnsi="宋体"/>
          <w:sz w:val="21"/>
          <w:szCs w:val="21"/>
          <w:highlight w:val="none"/>
          <w:lang w:val="en-US" w:eastAsia="zh-CN"/>
        </w:rPr>
        <w:t>租赁房屋</w:t>
      </w:r>
      <w:r>
        <w:rPr>
          <w:rFonts w:hint="eastAsia" w:ascii="宋体" w:hAnsi="宋体"/>
          <w:sz w:val="21"/>
          <w:szCs w:val="21"/>
          <w:highlight w:val="none"/>
        </w:rPr>
        <w:t>既有结构、设计等因素在内），或后续因为政策变化导致无法继续开设的各项经营风险，承租方承诺独立承担，出租方不对无法履行、投入成本、装修损失等承担任何形式的赔偿或补偿责任</w:t>
      </w:r>
      <w:r>
        <w:rPr>
          <w:rFonts w:hint="eastAsia" w:ascii="宋体"/>
          <w:color w:val="auto"/>
          <w:sz w:val="24"/>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Times New Roman"/>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w:t>
      </w:r>
      <w:r>
        <w:rPr>
          <w:rFonts w:hint="eastAsia" w:ascii="宋体" w:hAnsi="宋体"/>
          <w:sz w:val="21"/>
          <w:szCs w:val="21"/>
          <w:highlight w:val="none"/>
          <w:lang w:eastAsia="zh-CN"/>
        </w:rPr>
        <w:t>承租方在该租赁物业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并且，承租方在该</w:t>
      </w:r>
      <w:r>
        <w:rPr>
          <w:rFonts w:hint="eastAsia" w:ascii="宋体" w:hAnsi="宋体"/>
          <w:sz w:val="21"/>
          <w:szCs w:val="21"/>
          <w:highlight w:val="none"/>
          <w:lang w:val="en-US" w:eastAsia="zh-CN"/>
        </w:rPr>
        <w:t>租赁房屋</w:t>
      </w:r>
      <w:r>
        <w:rPr>
          <w:rFonts w:hint="eastAsia" w:ascii="宋体" w:hAnsi="宋体"/>
          <w:sz w:val="21"/>
          <w:szCs w:val="21"/>
          <w:highlight w:val="none"/>
          <w:lang w:eastAsia="zh-CN"/>
        </w:rPr>
        <w:t>的经营活动不得违反有关的法律、法规，必须确保</w:t>
      </w:r>
      <w:r>
        <w:rPr>
          <w:rFonts w:hint="eastAsia" w:ascii="宋体" w:hAnsi="宋体" w:cs="Times New Roman"/>
          <w:sz w:val="21"/>
          <w:szCs w:val="21"/>
          <w:highlight w:val="none"/>
          <w:lang w:eastAsia="zh-CN"/>
        </w:rPr>
        <w:t>其经营的合法性，否则，承租方将承担因其不正当经营所造成的一切责任和后果</w:t>
      </w:r>
      <w:r>
        <w:rPr>
          <w:rFonts w:hint="eastAsia" w:ascii="宋体" w:hAnsi="宋体" w:cs="Times New Roman"/>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Times New Roman"/>
          <w:sz w:val="21"/>
          <w:szCs w:val="21"/>
          <w:highlight w:val="none"/>
          <w:lang w:val="en-US" w:eastAsia="zh-CN"/>
        </w:rPr>
      </w:pPr>
      <w:r>
        <w:rPr>
          <w:rFonts w:hint="eastAsia" w:ascii="宋体" w:hAnsi="宋体" w:cs="Times New Roman"/>
          <w:sz w:val="21"/>
          <w:szCs w:val="21"/>
          <w:highlight w:val="none"/>
          <w:lang w:val="en-US" w:eastAsia="zh-CN"/>
        </w:rPr>
        <w:t>8、在租赁期限内，承租方保证在该租赁商业网点所规定的用途范围内，遵守公安、消防、城建、环卫、市政、工商、税务、卫生等部门的管理规定，按国家规定依法经营，自行负责办理相关手续和支付相关费用。</w:t>
      </w:r>
    </w:p>
    <w:p>
      <w:pPr>
        <w:keepNext w:val="0"/>
        <w:keepLines w:val="0"/>
        <w:pageBreakBefore w:val="0"/>
        <w:numPr>
          <w:ilvl w:val="0"/>
          <w:numId w:val="1"/>
        </w:numPr>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auto"/>
          <w:szCs w:val="21"/>
          <w:highlight w:val="none"/>
        </w:rPr>
      </w:pPr>
      <w:r>
        <w:rPr>
          <w:rFonts w:hint="eastAsia" w:ascii="宋体" w:hAnsi="宋体" w:eastAsia="宋体" w:cs="Times New Roman"/>
          <w:sz w:val="21"/>
          <w:szCs w:val="21"/>
          <w:highlight w:val="none"/>
          <w:lang w:val="en-US" w:eastAsia="zh-CN"/>
        </w:rPr>
        <w:t>租赁期间，承租方应做好门前三包，防火安全，综合治理和安全保卫等工作，承租方应执行当地有关部门规定，承担全部责任并接受、服从出租方的监督检查。如果发生政府有关部门征收本合同未列出项目但与使用该商业网点有关的费用，均由承租方承担。</w:t>
      </w:r>
    </w:p>
    <w:p>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承租方必须保持租赁区域内秩序安定和稳定，不得在承租区域内从事违法、违纪活动。承租方不得在承租网点内存放易燃易爆等危险物品，不得将有毒或爆炸物品带入网点。由于承租方原因，导致租赁区域内发生的任何纠纷或者事故，包括但不限于火灾、烟雾、水浸或任何物质的溢漏等而造成的人身伤亡和财产损失，由承租方自行负责处理并承担因此产生的各种后果，承租方确保出租方免于因此而遭受或产生任何索赔、诉讼、损害及费用支出等事项。因不可归责于承租方的事由，致使租赁物部分或者全部毁损、灭失的，有关赔偿由双方协商确定。</w:t>
      </w:r>
    </w:p>
    <w:p>
      <w:pPr>
        <w:pStyle w:val="3"/>
        <w:numPr>
          <w:ilvl w:val="0"/>
          <w:numId w:val="1"/>
        </w:numPr>
        <w:ind w:left="0" w:leftChars="0" w:firstLine="420" w:firstLineChars="200"/>
        <w:rPr>
          <w:rFonts w:hint="eastAsia"/>
          <w:lang w:val="en-US" w:eastAsia="zh-CN"/>
        </w:rPr>
      </w:pPr>
      <w:r>
        <w:rPr>
          <w:rFonts w:hint="eastAsia" w:ascii="宋体" w:hAnsi="宋体" w:eastAsia="宋体" w:cs="Times New Roman"/>
          <w:color w:val="auto"/>
          <w:kern w:val="2"/>
          <w:sz w:val="21"/>
          <w:szCs w:val="21"/>
          <w:highlight w:val="none"/>
          <w:lang w:val="en-US" w:eastAsia="zh-CN" w:bidi="ar-SA"/>
        </w:rPr>
        <w:t>承租方经营中所需的一切货物、材料等，由承租方自行处理运输及仓储事宜。</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12、因承租方自身原因（包括但不限于承租方的员工、亲友、访客及其受许可人在使用、管理、维护商业网点过程的失责行为、违约行为、侵害行为）或因对商业网点使用、管理、维护不当等原因而造成财产或人身损害时，承租方自行解决由此引发的纠纷，并自行承担由此导致的损害赔偿结果。</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13、承租方未经出租方书面同意自行暂停营业的，出租方按照暂停营业的天数，以1000元/天为基准向出租方支付违约金，出租方有权从履约保证金中扣除。</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14、承租后网点装修风格需与景区周边商业环境相匹配，同时提升网点外貌和经营形象，装修时不得破坏原建筑结构和使用性质。租赁期限内，如水、电、暖气、门、窗、外立面、设备设施等出现损毁的，均由承租方负责维修并承担维修费用。若网点归还时承租方未维修完好的，由出租方负责维修，承租方承担后期维修所产生的一切费用，出租方有权在履约保证金内扣除维修相关费用。</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15、</w:t>
      </w:r>
      <w:r>
        <w:rPr>
          <w:rFonts w:hint="eastAsia" w:ascii="宋体" w:hAnsi="宋体" w:eastAsia="宋体" w:cs="Times New Roman"/>
          <w:sz w:val="21"/>
          <w:szCs w:val="21"/>
          <w:highlight w:val="none"/>
          <w:lang w:val="en-US" w:eastAsia="zh-CN"/>
        </w:rPr>
        <w:t>承租方不得擅自改变商业网点的结构和使用性质，如需对商业网点进行改造、装修或增扩设备，应事先征得出租方的书面同意，并按规定向有关部门办理审批同意手续后，方可进行。</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16、承租方不得擅自将商业网点转租、转借他人或调换使用（政府要求行为除外）。承租方保证其在商业网点内的一切商业活动符合中国法律、法规和政府的规定，负责承租范围内各项秩序的维护和管理。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17、因西湖风景名胜区是国家5A级景区和世界文化遗产，承租网点位于景区范围内，承租方应教育工作人员自觉维护景区“窗口”形象，使用的经营设施必须符合风景区景观要求，自觉接受出租方和职能主管部门监督、管理和相关处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18、承租方作为其经营范围安全的第一责任人，要充分考虑该经营范围内的安全，要遵守与出租方签订的安全责任书，落实好商业网点的安全保卫工作，自觉接受出租方的监督管理，配合出租方及相关部门的业务指导、检查，对发现的问题，积极做好整改。若遇重大活动，承租方服从景区统一安排，若因此致使承租方无法正常营业的，由承租方自行承担责任，出租方不予补偿及退还租金。</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19、出租方与承租方的权利义务详见《商业网点租赁合同》等交易合同</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20</w:t>
      </w:r>
      <w:r>
        <w:rPr>
          <w:rFonts w:hint="eastAsia" w:ascii="宋体" w:hAnsi="宋体" w:eastAsia="宋体" w:cs="Times New Roman"/>
          <w:color w:val="auto"/>
          <w:sz w:val="21"/>
          <w:szCs w:val="21"/>
          <w:highlight w:val="none"/>
          <w:lang w:val="en-US" w:eastAsia="zh-CN"/>
        </w:rPr>
        <w:t>、本项目承租方按如下标准承担交易服务费：本项目成交各年累计租金在800万以下的，承租方须交纳成交各年累计租金2%计的交易服务费；成交各年累计租金在800万以上的，承租方须交纳成交各年累计租金1.5%计的交易服务费。</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宋体" w:hAnsi="宋体" w:cs="Times New Roman"/>
          <w:color w:val="auto"/>
          <w:sz w:val="21"/>
          <w:szCs w:val="21"/>
          <w:highlight w:val="none"/>
          <w:lang w:val="en-US" w:eastAsia="zh-CN"/>
        </w:rPr>
        <w:t>21</w:t>
      </w:r>
      <w:r>
        <w:rPr>
          <w:rFonts w:hint="eastAsia" w:ascii="宋体" w:hAnsi="宋体" w:eastAsia="宋体" w:cs="Times New Roman"/>
          <w:color w:val="auto"/>
          <w:sz w:val="21"/>
          <w:szCs w:val="21"/>
          <w:highlight w:val="none"/>
          <w:lang w:val="en-US" w:eastAsia="zh-CN"/>
        </w:rPr>
        <w:t>、若非出租方原因，出现以下任一情况时，意向承租方交纳的保证金不予退还，先用于补偿杭交所的各项服务费，剩余部分作为对出租</w:t>
      </w:r>
      <w:r>
        <w:rPr>
          <w:rFonts w:hint="eastAsia" w:asciiTheme="minorEastAsia" w:hAnsiTheme="minorEastAsia" w:eastAsiaTheme="minorEastAsia" w:cstheme="minorEastAsia"/>
          <w:sz w:val="21"/>
          <w:szCs w:val="21"/>
          <w:highlight w:val="none"/>
          <w:lang w:val="en-US" w:eastAsia="zh-CN"/>
        </w:rPr>
        <w:t xml:space="preserve">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（3）在被确定为承租方后未按约定签署</w:t>
      </w:r>
      <w:r>
        <w:rPr>
          <w:rFonts w:hint="eastAsia" w:ascii="宋体" w:hAnsi="宋体" w:eastAsia="宋体" w:cs="Times New Roman"/>
          <w:color w:val="auto"/>
          <w:sz w:val="21"/>
          <w:szCs w:val="21"/>
          <w:highlight w:val="none"/>
          <w:lang w:val="en-US" w:eastAsia="zh-CN"/>
        </w:rPr>
        <w:t>《商业网点租赁合同》</w:t>
      </w:r>
      <w:r>
        <w:rPr>
          <w:rFonts w:hint="eastAsia" w:asciiTheme="minorEastAsia" w:hAnsiTheme="minorEastAsia" w:eastAsiaTheme="minorEastAsia" w:cstheme="minorEastAsia"/>
          <w:sz w:val="21"/>
          <w:szCs w:val="21"/>
          <w:highlight w:val="none"/>
          <w:lang w:val="en-US" w:eastAsia="zh-CN"/>
        </w:rPr>
        <w:t>的或未按约定支付首期租金、履约保证金及交易服务费的；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（4）意向承租方未履行书面承诺事项的；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（5）存在其他违反交易规则情形的。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意向承租方（签章）：</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2025年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A5A3AD"/>
    <w:multiLevelType w:val="singleLevel"/>
    <w:tmpl w:val="72A5A3AD"/>
    <w:lvl w:ilvl="0" w:tentative="0">
      <w:start w:val="9"/>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D0E659B"/>
    <w:rsid w:val="0DF1051E"/>
    <w:rsid w:val="0F524901"/>
    <w:rsid w:val="173E5800"/>
    <w:rsid w:val="1AAB0628"/>
    <w:rsid w:val="1AEA2F7A"/>
    <w:rsid w:val="1DA37C3B"/>
    <w:rsid w:val="1EEC13A1"/>
    <w:rsid w:val="20A51056"/>
    <w:rsid w:val="270805C8"/>
    <w:rsid w:val="27541626"/>
    <w:rsid w:val="27AA290F"/>
    <w:rsid w:val="285D694C"/>
    <w:rsid w:val="29E94A0C"/>
    <w:rsid w:val="2B1F0483"/>
    <w:rsid w:val="2CE92F60"/>
    <w:rsid w:val="2D9B5572"/>
    <w:rsid w:val="2FA5177C"/>
    <w:rsid w:val="32557358"/>
    <w:rsid w:val="32FB67E2"/>
    <w:rsid w:val="35600E6D"/>
    <w:rsid w:val="35F52CCE"/>
    <w:rsid w:val="37522DE0"/>
    <w:rsid w:val="383E6FED"/>
    <w:rsid w:val="38456167"/>
    <w:rsid w:val="3AC43A69"/>
    <w:rsid w:val="3B103714"/>
    <w:rsid w:val="3B6738AB"/>
    <w:rsid w:val="45962498"/>
    <w:rsid w:val="46DF21A2"/>
    <w:rsid w:val="4ACC618D"/>
    <w:rsid w:val="4D8520D3"/>
    <w:rsid w:val="50D93D32"/>
    <w:rsid w:val="5187378F"/>
    <w:rsid w:val="54E62B26"/>
    <w:rsid w:val="55D769B2"/>
    <w:rsid w:val="585D3FC2"/>
    <w:rsid w:val="5A765B12"/>
    <w:rsid w:val="5A7D1B2E"/>
    <w:rsid w:val="5B7B2FC6"/>
    <w:rsid w:val="5CF46009"/>
    <w:rsid w:val="5EE74137"/>
    <w:rsid w:val="62F53709"/>
    <w:rsid w:val="63C12C87"/>
    <w:rsid w:val="655941F8"/>
    <w:rsid w:val="66141D8A"/>
    <w:rsid w:val="663A5F69"/>
    <w:rsid w:val="67A12142"/>
    <w:rsid w:val="68434A5B"/>
    <w:rsid w:val="6A434F2F"/>
    <w:rsid w:val="6B7C4F72"/>
    <w:rsid w:val="6BBC636F"/>
    <w:rsid w:val="6BE8130D"/>
    <w:rsid w:val="6D802092"/>
    <w:rsid w:val="6F750ECD"/>
    <w:rsid w:val="6FFC4BAB"/>
    <w:rsid w:val="714C77AC"/>
    <w:rsid w:val="71D57417"/>
    <w:rsid w:val="74AF585B"/>
    <w:rsid w:val="772A7FC7"/>
    <w:rsid w:val="78953E89"/>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after="120"/>
    </w:pPr>
    <w:rPr>
      <w:b/>
      <w:bCs/>
      <w:caps/>
      <w:sz w:val="20"/>
    </w:rPr>
  </w:style>
  <w:style w:type="paragraph" w:styleId="4">
    <w:name w:val="Body Text"/>
    <w:basedOn w:val="1"/>
    <w:next w:val="5"/>
    <w:semiHidden/>
    <w:qFormat/>
    <w:uiPriority w:val="0"/>
    <w:rPr>
      <w:rFonts w:ascii="仿宋" w:hAnsi="仿宋" w:eastAsia="仿宋" w:cs="仿宋"/>
      <w:sz w:val="31"/>
      <w:szCs w:val="31"/>
      <w:lang w:val="en-US" w:eastAsia="en-US" w:bidi="ar-SA"/>
    </w:rPr>
  </w:style>
  <w:style w:type="paragraph" w:styleId="5">
    <w:name w:val="toc 4"/>
    <w:basedOn w:val="1"/>
    <w:next w:val="1"/>
    <w:qFormat/>
    <w:uiPriority w:val="0"/>
    <w:pPr>
      <w:wordWrap w:val="0"/>
      <w:ind w:left="850"/>
      <w:jc w:val="both"/>
    </w:pPr>
    <w:rPr>
      <w:rFonts w:ascii="Calibri" w:hAnsi="Calibri" w:eastAsia="宋体" w:cs="Times New Roman"/>
      <w:sz w:val="21"/>
      <w:lang w:val="en-US" w:eastAsia="zh-CN" w:bidi="ar-SA"/>
    </w:rPr>
  </w:style>
  <w:style w:type="paragraph" w:styleId="6">
    <w:name w:val="footer"/>
    <w:basedOn w:val="1"/>
    <w:link w:val="15"/>
    <w:semiHidden/>
    <w:unhideWhenUsed/>
    <w:qFormat/>
    <w:uiPriority w:val="99"/>
    <w:pPr>
      <w:tabs>
        <w:tab w:val="center" w:pos="4153"/>
        <w:tab w:val="right" w:pos="8306"/>
      </w:tabs>
      <w:snapToGrid w:val="0"/>
      <w:jc w:val="left"/>
    </w:pPr>
    <w:rPr>
      <w:sz w:val="18"/>
      <w:szCs w:val="18"/>
    </w:rPr>
  </w:style>
  <w:style w:type="paragraph" w:styleId="7">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6"/>
    <w:basedOn w:val="1"/>
    <w:next w:val="1"/>
    <w:qFormat/>
    <w:uiPriority w:val="0"/>
    <w:pPr>
      <w:ind w:left="2100" w:leftChars="1000"/>
    </w:pPr>
    <w:rPr>
      <w:szCs w:val="22"/>
    </w:rPr>
  </w:style>
  <w:style w:type="paragraph" w:styleId="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Body Text First Indent"/>
    <w:basedOn w:val="4"/>
    <w:next w:val="8"/>
    <w:unhideWhenUsed/>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SA"/>
    </w:rPr>
  </w:style>
  <w:style w:type="paragraph" w:customStyle="1" w:styleId="13">
    <w:name w:val="NormalIndent"/>
    <w:basedOn w:val="1"/>
    <w:qFormat/>
    <w:uiPriority w:val="0"/>
    <w:pPr>
      <w:ind w:firstLine="420"/>
    </w:pPr>
  </w:style>
  <w:style w:type="character" w:customStyle="1" w:styleId="14">
    <w:name w:val="页眉 Char"/>
    <w:basedOn w:val="12"/>
    <w:link w:val="7"/>
    <w:semiHidden/>
    <w:qFormat/>
    <w:uiPriority w:val="99"/>
    <w:rPr>
      <w:rFonts w:ascii="Times New Roman" w:hAnsi="Times New Roman" w:eastAsia="宋体" w:cs="Times New Roman"/>
      <w:sz w:val="18"/>
      <w:szCs w:val="18"/>
    </w:rPr>
  </w:style>
  <w:style w:type="character" w:customStyle="1" w:styleId="15">
    <w:name w:val="页脚 Char"/>
    <w:basedOn w:val="12"/>
    <w:link w:val="6"/>
    <w:semiHidden/>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1480</Words>
  <Characters>1500</Characters>
  <Lines>8</Lines>
  <Paragraphs>2</Paragraphs>
  <TotalTime>0</TotalTime>
  <ScaleCrop>false</ScaleCrop>
  <LinksUpToDate>false</LinksUpToDate>
  <CharactersWithSpaces>1592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2025-12-16T03:55:27Z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824C53EAD98E4E6FAE634577C3C8D155</vt:lpwstr>
  </property>
  <property fmtid="{D5CDD505-2E9C-101B-9397-08002B2CF9AE}" pid="4" name="KSOTemplateDocerSaveRecord">
    <vt:lpwstr>eyJoZGlkIjoiYTRmZTg4YTg3OTkxNDNiMGE2ZTM4YzhiYWM4OTZmZWYiLCJ1c2VySWQiOiI5NTMwNTIxNDkifQ==</vt:lpwstr>
  </property>
</Properties>
</file>