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杭州市西湖区留和路658号-16至留和路658号-22房屋7年租赁权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、意向承诺方须承诺：本次租赁权成交后，承租单位可根据项目定位要求进行招商、运营并实施首次转租，禁止承租单位整体转租或次承租人进行二次转租。</w:t>
      </w:r>
    </w:p>
    <w:p>
      <w:pPr>
        <w:spacing w:line="336" w:lineRule="auto"/>
        <w:ind w:firstLine="420" w:firstLineChars="200"/>
        <w:rPr>
          <w:rFonts w:hint="eastAsia" w:asciiTheme="minorEastAsia" w:hAnsiTheme="minorEastAsia" w:eastAsiaTheme="minorEastAsia"/>
          <w:szCs w:val="21"/>
          <w:lang w:val="en-US" w:eastAsia="zh-CN"/>
        </w:rPr>
      </w:pPr>
      <w:bookmarkStart w:id="5" w:name="_GoBack"/>
      <w:bookmarkEnd w:id="5"/>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、我方已知悉并同意本项目承租方须交纳交易服务费，计算标准如下：</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5B716E"/>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15</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2025-12-10T02:05:54Z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