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杭州市上城区佑圣观路39号房屋3年租赁权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lang w:eastAsia="zh-CN"/>
        </w:rPr>
        <w:t>租赁房屋房屋所有权证证载设计用途为非住宅，所在地块国有土地使用证证载使用权类型为划拨，地类用途为综合（办公）。</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w:t>
      </w:r>
      <w:bookmarkStart w:id="1" w:name="_GoBack"/>
      <w:bookmarkEnd w:id="1"/>
      <w:r>
        <w:rPr>
          <w:rFonts w:hint="eastAsia" w:ascii="宋体" w:hAnsi="宋体"/>
          <w:sz w:val="21"/>
          <w:szCs w:val="21"/>
          <w:highlight w:val="none"/>
        </w:rPr>
        <w:t>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5526291"/>
    <w:rsid w:val="25B34C3E"/>
    <w:rsid w:val="2731534B"/>
    <w:rsid w:val="279515A0"/>
    <w:rsid w:val="28CD421D"/>
    <w:rsid w:val="29064147"/>
    <w:rsid w:val="2B224A23"/>
    <w:rsid w:val="2BD51F6B"/>
    <w:rsid w:val="2BEE0A70"/>
    <w:rsid w:val="2CC14BC5"/>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E5F07A0"/>
    <w:rsid w:val="6F3E2F3A"/>
    <w:rsid w:val="6FA55374"/>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2025-12-09T02:50:51Z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