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杭州市拱墅区孩儿巷57号（新59号）房屋3年租赁权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5BF1EE0"/>
    <w:rsid w:val="16366F44"/>
    <w:rsid w:val="16BD1BA6"/>
    <w:rsid w:val="174D738C"/>
    <w:rsid w:val="19B122C7"/>
    <w:rsid w:val="19B324A8"/>
    <w:rsid w:val="19CF393C"/>
    <w:rsid w:val="1BBB70AD"/>
    <w:rsid w:val="1BF1544B"/>
    <w:rsid w:val="1E14735D"/>
    <w:rsid w:val="1EFA488D"/>
    <w:rsid w:val="1F072A94"/>
    <w:rsid w:val="1F832161"/>
    <w:rsid w:val="1F843BB4"/>
    <w:rsid w:val="1FB34EAE"/>
    <w:rsid w:val="1FE75D9F"/>
    <w:rsid w:val="208A7B37"/>
    <w:rsid w:val="20A46D74"/>
    <w:rsid w:val="20C11717"/>
    <w:rsid w:val="23201829"/>
    <w:rsid w:val="25526291"/>
    <w:rsid w:val="25B34C3E"/>
    <w:rsid w:val="26917FDE"/>
    <w:rsid w:val="2731534B"/>
    <w:rsid w:val="279232BC"/>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54E1FDD"/>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2025-12-10T06:14:24Z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