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杭州市西湖区留和路658号-23至留和路658号-28房屋7年租赁权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保障性安居工程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w:t>
      </w:r>
      <w:bookmarkStart w:id="5" w:name="_GoBack"/>
      <w:bookmarkEnd w:id="5"/>
      <w:r>
        <w:rPr>
          <w:rFonts w:hint="eastAsia" w:asciiTheme="minorEastAsia" w:hAnsiTheme="minorEastAsia" w:eastAsiaTheme="minorEastAsia"/>
          <w:szCs w:val="21"/>
        </w:rPr>
        <w:t>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、意向承诺方须承诺：本次租赁权成交后，承租单位可根据项目定位要求进行招商、运营并实施首次转租，禁止承租单位整体转租或次承租人进行二次转租。</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本次交易成交后如因承租方未在规定时间内足额支付履约保证金、装修保证金及首期租金等交易资金导致《房屋租赁合同》、《房屋管理合同》不生效的，承租方已支付的交易资金不予返还。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、我方已知悉并同意本项目承租方须交纳交易服务费，计算标准如下：</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本次交易有二个及以上意向承租方报名且成交的，承租方须缴纳按首年一个月租金计取的交易服务费；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510EF9"/>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002FA3"/>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5B716E"/>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15</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2025-12-10T02:07:12Z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