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杭州市拱墅区余杭塘路478号阮家桥公交停保基地10幢2层东侧部分房屋（2）3年租赁权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租赁房屋不动产权证证载权利性质为划拨/自建房，证载房屋用途为街巷用地/非住宅，阮家桥公交停保基地不动产权证附记记载：该宗地批准用途为公交停保基地。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已知悉并同意：出租方保证租赁房屋产权无争议，但可提供的租赁房屋的权属资料仅限于不动产权证（证号：浙[2018]杭州市不动产权第0028046号）等（具体详见合同附件）。意向承租方应对房屋权属资料可能对后续经营开展、获取审批许可等可能的不利影响作充分了解和预判，包括不能获得既定开设审批、无法办理租赁备案证、无法作为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已知悉并同意：本次标的涉及房屋以实际交付时的现状为准。出租方房屋原为毛坯状态，现场现有可见租赁房屋的装修及设施设备部分不属于出租方投入，存在交付前因实际使用人/投入人对装修及设施设备进行拆除或破坏的可能，故租赁房屋装修及设备设施不以目前展示现状为准，租赁房屋移交时不保证装修、装饰物及设备设施的完好。意向承租方可向出租方索要项目图纸以了解房屋装修前的原始状态。且意向承租方知悉并认可，无论交付时的现状如何，对房屋交付时可能存在的除主体结构之外的质量问题和使用瑕疵所需的成本投入和周期均已考虑进招租底价，出租方不再安排修复或作其他投入。意向承租方应在竞租之前，自行至该房屋进行充分的踏勘与了解，并结合出租方的披露信息进行相关评估考虑。出租方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已知悉并同意：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已知悉并同意：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并同意：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已知悉并同意：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）已知悉并同意：若承租方未按照第一项承诺在招租公告明确的期限足额支付首期租金、履约保证金的，则视为根本性违约。出租方有权单方面解除合同，另行招租。承租方已向杭交所交纳的交易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）未经出租方书面同意，承租方不得转租。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：各年累计租金在800万元以下，按照各年累计租金的2%收取；各年累计租金在800万元以上的，按照各年累计租金的1.5%收取。仅征集到一位意向承租方且成交的，可按以上收费标准减半收取。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bookmarkStart w:id="0" w:name="_GoBack"/>
      <w:bookmarkEnd w:id="0"/>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6870EDE"/>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781418D"/>
    <w:rsid w:val="280C6FF3"/>
    <w:rsid w:val="29831BA4"/>
    <w:rsid w:val="29A37426"/>
    <w:rsid w:val="29AC0889"/>
    <w:rsid w:val="2A7A57A9"/>
    <w:rsid w:val="2A7E3585"/>
    <w:rsid w:val="2AC97973"/>
    <w:rsid w:val="2B0229AE"/>
    <w:rsid w:val="2C5B5AFF"/>
    <w:rsid w:val="2C993CF8"/>
    <w:rsid w:val="2D095E73"/>
    <w:rsid w:val="2D462264"/>
    <w:rsid w:val="2DDE0BE6"/>
    <w:rsid w:val="2EF16AF3"/>
    <w:rsid w:val="2FFC7C4A"/>
    <w:rsid w:val="30F66B22"/>
    <w:rsid w:val="31831344"/>
    <w:rsid w:val="31A85707"/>
    <w:rsid w:val="31C10B20"/>
    <w:rsid w:val="32147D6E"/>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BC2A00"/>
    <w:rsid w:val="41F153B0"/>
    <w:rsid w:val="42EF105C"/>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B5339"/>
    <w:rsid w:val="59C553D4"/>
    <w:rsid w:val="59D25817"/>
    <w:rsid w:val="59D83923"/>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7E0522"/>
    <w:rsid w:val="6D225430"/>
    <w:rsid w:val="6D490EB5"/>
    <w:rsid w:val="6DC2291F"/>
    <w:rsid w:val="6DE029CA"/>
    <w:rsid w:val="70681F34"/>
    <w:rsid w:val="71204A9C"/>
    <w:rsid w:val="72C64894"/>
    <w:rsid w:val="744676DC"/>
    <w:rsid w:val="744E1347"/>
    <w:rsid w:val="752E7623"/>
    <w:rsid w:val="76E45562"/>
    <w:rsid w:val="76E637FE"/>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2025-12-05T06:09:35Z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