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lang w:val="en-US" w:eastAsia="zh-CN"/>
        </w:rPr>
      </w:pPr>
      <w:r>
        <w:rPr>
          <w:rFonts w:hint="eastAsia" w:asciiTheme="minorEastAsia" w:hAnsiTheme="minorEastAsia" w:eastAsiaTheme="minorEastAsia"/>
          <w:szCs w:val="21"/>
          <w:lang w:val="en-US" w:eastAsia="zh-CN"/>
        </w:rPr>
        <w:t>杭州企业产权交易中心有限公司：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装修保证金及首期租金等交易资金（以到账时间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4、若我方成为承租方，我方已知悉并同意：同意杭交所在经出租方申请之日起3个工作日内将承租方已交纳的履约保证金、装修保证金、首期租金全部划转至出租方指定账户。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 w:val="20"/>
          <w:szCs w:val="20"/>
          <w:highlight w:val="none"/>
          <w:lang w:eastAsia="zh-CN"/>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装修约定：承租方承租后需进行装修的，应向出租方提交装修申请并缴纳相应金额的装修保证金，装修完成后，经出租方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餐饮业用气约定：承租方承租后经营餐饮等业态的，不得使用瓶装燃气、环保油或其他易燃易爆燃料，需加装天然气的，室内加装装置、设备的费用由承租方自行承担；需使用电力设备的，应在满足电力容量负荷情况下使用；需要扩容或加装电力设备的，应自行向电力部门申请，扩容或加装设备的费用由承租方自行承担。非餐饮类商铺不得使用明火，更不得使用瓶装燃气、环保油或其他易燃易爆燃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成交后，承租方须与杭州市城市建设发展集团有限公司签订《房屋租赁合同》。租金由杭州市城市建设发展集团有限公司收取并向承租方出具租赁发票；履约保证金由出租方收取并向承租方出具收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Theme="minorEastAsia"/>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若我方成为承租方，我方已知悉并同意：出租方与承租方的权利和义务</w:t>
      </w:r>
      <w:r>
        <w:rPr>
          <w:rFonts w:hint="eastAsia" w:asciiTheme="minorEastAsia" w:hAnsiTheme="minorEastAsia" w:eastAsiaTheme="minorEastAsia"/>
          <w:szCs w:val="21"/>
          <w:lang w:val="en-US" w:eastAsia="zh-CN"/>
        </w:rPr>
        <w:t>以及租赁标的交付</w:t>
      </w:r>
      <w:bookmarkStart w:id="0" w:name="_GoBack"/>
      <w:bookmarkEnd w:id="0"/>
      <w:r>
        <w:rPr>
          <w:rFonts w:hint="eastAsia" w:asciiTheme="minorEastAsia" w:hAnsiTheme="minorEastAsia" w:eastAsiaTheme="minorEastAsia"/>
          <w:szCs w:val="21"/>
        </w:rPr>
        <w:t>以出租方提供的《房屋租赁合同》为准。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按以下标准支付交易服务费：（1）两个及以上意向承租方报名且成交的，承租方须支付首年一个月租金计的交易服务费；（2）仅征集到一位意向承租方且成交的，承租方须支付首年半个月租金计的交易服务费。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549F8"/>
    <w:rsid w:val="2603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2025-12-02T05:53:00Z</dcterms:created>
  <dc:creator>YWX</dc:creator>
  <cp:lastModifiedBy>YWX</cp:lastModifiedBy>
  <dcterms:modified xsi:type="dcterms:W3CDTF">2025-12-02T06:23:06Z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6540479FAE414EDDB9B86BA896D49D1F</vt:lpwstr>
  </property>
</Properties>
</file>