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Theme="minorEastAsia"/>
          <w:lang w:val="en-US" w:eastAsia="zh-CN"/>
        </w:rPr>
      </w:pPr>
      <w:r>
        <w:rPr>
          <w:rFonts w:hint="eastAsia" w:asciiTheme="minorEastAsia" w:hAnsiTheme="minorEastAsia" w:eastAsiaTheme="minorEastAsia"/>
          <w:szCs w:val="21"/>
          <w:lang w:val="en-US" w:eastAsia="zh-CN"/>
        </w:rPr>
        <w:t>杭州企业产权交易中心有限公司：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u w:val="single"/>
        </w:rPr>
        <w:t>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装修保证金及首期租金等交易资金（以到账时间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4、若我方成为承租方，我方已知悉并同意：同意杭交所在经出租方申请之日起3个工作日内将承租方已交纳的履约保证金、装修保证金、首期租金全部划转至出租方指定账户。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 w:val="20"/>
          <w:szCs w:val="20"/>
          <w:highlight w:val="none"/>
          <w:lang w:eastAsia="zh-CN"/>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装修约定：承租方承租后需进行装修的，应向出租方提交装修申请并缴纳相应金额的装修保证金，装修完成后，经出租方或相关部门验收无异议后，无息退还装修保证金；无需进行装修的，应签署不装修承诺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餐饮业用气约定：承租方承租后经营餐饮等业态的，不得使用瓶装燃气、环保油或其他易燃易爆燃料，需加装天然气的，室内加装装置、设备的费用由承租方自行承担；需使用电力设备的，应在满足电力容量负荷情况下使用；需要扩容或加装电力设备的，应自行向电力部门申请，扩容或加装设备的费用由承租方自行承担。非餐饮类商铺不得使用明火，更不得使用瓶装燃气、环保油或其他易燃易爆燃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若我方成为承租方，我方已知悉并同意：成交后，承租方须与杭州城发置业发展有限公司签订《房屋租赁合同》。租金由杭州</w:t>
      </w:r>
      <w:bookmarkStart w:id="0" w:name="_GoBack"/>
      <w:bookmarkEnd w:id="0"/>
      <w:r>
        <w:rPr>
          <w:rFonts w:hint="eastAsia" w:asciiTheme="minorEastAsia" w:hAnsiTheme="minorEastAsia" w:eastAsiaTheme="minorEastAsia"/>
          <w:szCs w:val="21"/>
        </w:rPr>
        <w:t>城发置业发展有限公司收取并向承租方出具租赁发票；履约保证金由出租方收取并向承租方出具收据。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eastAsiaTheme="minorEastAsia"/>
          <w:lang w:val="en-US" w:eastAsia="zh-CN"/>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若我方成为承租方，我方已知悉并同意：出租方与承租方的权利和义务</w:t>
      </w:r>
      <w:r>
        <w:rPr>
          <w:rFonts w:hint="eastAsia" w:asciiTheme="minorEastAsia" w:hAnsiTheme="minorEastAsia" w:eastAsiaTheme="minorEastAsia"/>
          <w:szCs w:val="21"/>
          <w:lang w:val="en-US" w:eastAsia="zh-CN"/>
        </w:rPr>
        <w:t>以及租赁标的交付</w:t>
      </w:r>
      <w:r>
        <w:rPr>
          <w:rFonts w:hint="eastAsia" w:asciiTheme="minorEastAsia" w:hAnsiTheme="minorEastAsia" w:eastAsiaTheme="minorEastAsia"/>
          <w:szCs w:val="21"/>
        </w:rPr>
        <w:t>以出租方提供的《房屋租赁合同》为准。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按以下标准支付交易服务费：（1）两个及以上意向承租方报名且成交的，承租方须支付首年一个月租金计的交易服务费；（2）仅征集到一位意向承租方且成交的，承租方须支付首年半个月租金计的交易服务费。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549F8"/>
    <w:rsid w:val="26032483"/>
    <w:rsid w:val="4EDC3B7D"/>
    <w:rsid w:val="58AC6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2025-12-02T05:53:00Z</dcterms:created>
  <dc:creator>YWX</dc:creator>
  <cp:lastModifiedBy>YWX</cp:lastModifiedBy>
  <dcterms:modified xsi:type="dcterms:W3CDTF">2025-12-02T07:26:03Z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6540479FAE414EDDB9B86BA896D49D1F</vt:lpwstr>
  </property>
</Properties>
</file>