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杭州市西湖区来仁街56-62号（双号）二层房屋、来仁街66-68号（双号）二层房屋及来仁街68号一层楼梯通道5年租赁权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bookmarkStart w:id="5" w:name="_GoBack"/>
      <w:bookmarkEnd w:id="5"/>
      <w:r>
        <w:rPr>
          <w:rFonts w:hint="eastAsia" w:asciiTheme="minorEastAsia" w:hAnsiTheme="minorEastAsia" w:eastAsiaTheme="minorEastAsia"/>
          <w:szCs w:val="21"/>
          <w:lang w:val="en-US" w:eastAsia="zh-CN"/>
        </w:rPr>
        <w:t>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234E7D"/>
    <w:rsid w:val="5983467E"/>
    <w:rsid w:val="59F94169"/>
    <w:rsid w:val="5B3B3E60"/>
    <w:rsid w:val="5B4864E4"/>
    <w:rsid w:val="5B5244CB"/>
    <w:rsid w:val="5C364ED6"/>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2025-11-26T02:42:12Z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