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杭州市文三路259号1号楼1703室、1704室房产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 xml:space="preserve">（3）若我方成为受让方，我方知悉并同意：若因受让方原因造成所受让房屋无法过户，受让方所缴纳的购房款损失及其他经济损失均由受让方承担，与产权方、转让方及经纪会员无关，受让方已付交易服务费、履约保证金不予返还。 </w:t>
      </w:r>
      <w:bookmarkStart w:id="0" w:name="_GoBack"/>
      <w:bookmarkEnd w:id="0"/>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如由于转让方、产权方或受让方的原因无法办理过户的，转让方、产权方或受让方自行承担责任。在办理房产权证过户手续过程中所涉及买卖双方应缴纳的税、费，按国家有关规定由产权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物业管理费从交接次月起由受让方承担。水、电可以重新开户的，相关手续及费用由受让方自行办理，但是否可以重新开户不在转让方、产权方合同义务范围内，具体按照转让标的情况和政府相关管理规定执行。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）若我方成为受让方，我方知悉并同意：转让标的只限于权证核定的面积范围内，</w:t>
      </w:r>
      <w:r>
        <w:rPr>
          <w:rFonts w:hint="eastAsia" w:ascii="宋体" w:hAnsi="宋体"/>
          <w:b w:val="0"/>
          <w:bCs w:val="0"/>
          <w:highlight w:val="none"/>
        </w:rPr>
        <w:t xml:space="preserve">不包括标的外部的附属用房、设施等。转让标的如有漏水或需维修的情况，均由受让方自理,转让方、产权方不承担任何费用和责任。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）若我方成为受让方，已知悉并同意：根据出租方与承租人签订的《房屋租赁协议书》，本次交易标的转让方已出租。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10</w:t>
      </w:r>
      <w:r>
        <w:rPr>
          <w:rFonts w:hint="eastAsia" w:ascii="宋体" w:hAnsi="宋体"/>
          <w:b w:val="0"/>
          <w:bCs w:val="0"/>
          <w:highlight w:val="none"/>
        </w:rPr>
        <w:t>）若我方成为受让方，已知悉并同意：本次转让标的内部被改动的，包括但不限于部分墙体、楼板被打通等，可能现状外观与证载平面图所示不符，但本次转让标的均以交付现状为准，转让方、产权方不作复原。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）若我方成为受让方，已知悉并同意：本次产权方与受让方的权利义务以及房屋的交接，最终以产权方提供的《资产交易合同》为准。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八、</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5879D6"/>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3</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2025-11-24T07:21:12Z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