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lang w:val="en-US" w:eastAsia="zh-CN"/>
        </w:rPr>
      </w:pPr>
      <w:r>
        <w:rPr>
          <w:rFonts w:hint="eastAsia" w:asciiTheme="minorEastAsia" w:hAnsiTheme="minorEastAsia" w:eastAsiaTheme="minorEastAsia"/>
          <w:szCs w:val="21"/>
          <w:lang w:val="en-US" w:eastAsia="zh-CN"/>
        </w:rPr>
        <w:t>杭州企业产权交易中心有限公司：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装修保证金及首期租金等交易资金（以到账时间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4、若我方成为承租方，我方已知悉并同意：同意杭交所在经出租方申请之日起3个工作日内将承租方已交纳的履约保证金、装修保证金、首期租金全部划转至出租方指定账户。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 w:val="20"/>
          <w:szCs w:val="20"/>
          <w:highlight w:val="none"/>
          <w:lang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装修约定：承租方承租后需进行装修的，应向出租方提交装修申请并缴纳相应金额的装修保证金，装修完成后，经出租方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成交后，承租方须与杭州市城市建设发展集团有限公司签订《房屋租赁合同》。租金由杭州市城市建设发展集团有限公司收取并向承租方出具租赁发票；履约保证金由出租方收取并向承租方出具收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若我方成为承租方，我方已知悉并同意：出租方与承租方的权利和义务以出租方提供的《房屋租赁合同》为准。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按以下标准支付交易服务费：（1）两个及以上意向承租方报名且成交的，承</w:t>
      </w:r>
      <w:bookmarkStart w:id="0" w:name="_GoBack"/>
      <w:bookmarkEnd w:id="0"/>
      <w:r>
        <w:rPr>
          <w:rFonts w:hint="eastAsia" w:asciiTheme="minorEastAsia" w:hAnsiTheme="minorEastAsia" w:eastAsiaTheme="minorEastAsia"/>
          <w:szCs w:val="21"/>
          <w:lang w:val="en-US" w:eastAsia="zh-CN"/>
        </w:rPr>
        <w:t>租方须支付首年一个月租金计的交易服务费；（2）仅征集到一位意向承租方且成交的，承租方须支付首年半个月租金计的交易服务费。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D0316C"/>
    <w:rsid w:val="02773386"/>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912726"/>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2025-11-20T07:33:56Z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