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pPr>
        <w:rPr>
          <w:rFonts w:hint="eastAsia" w:ascii="楷体" w:hAnsi="楷体" w:eastAsia="楷体" w:cs="楷体"/>
          <w:b/>
          <w:bCs/>
          <w:color w:val="auto"/>
          <w:sz w:val="28"/>
          <w:szCs w:val="28"/>
          <w:highlight w:val="none"/>
        </w:rPr>
      </w:pPr>
    </w:p>
    <w:p>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pPr>
        <w:jc w:val="left"/>
        <w:rPr>
          <w:rFonts w:hint="eastAsia" w:ascii="楷体" w:hAnsi="楷体" w:eastAsia="楷体" w:cs="楷体"/>
          <w:b/>
          <w:bCs/>
          <w:color w:val="auto"/>
          <w:sz w:val="28"/>
          <w:szCs w:val="28"/>
          <w:highlight w:val="none"/>
        </w:rPr>
      </w:pPr>
    </w:p>
    <w:p>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highlight w:val="none"/>
              </w:rPr>
            </w:pPr>
          </w:p>
        </w:tc>
        <w:tc>
          <w:tcPr>
            <w:tcW w:w="5092" w:type="dxa"/>
            <w:vAlign w:val="center"/>
          </w:tcPr>
          <w:p>
            <w:pPr>
              <w:ind w:firstLine="358" w:firstLineChars="128"/>
              <w:rPr>
                <w:rFonts w:ascii="楷体" w:hAnsi="楷体" w:eastAsia="楷体" w:cs="楷体"/>
                <w:color w:val="auto"/>
                <w:sz w:val="28"/>
                <w:szCs w:val="28"/>
                <w:highlight w:val="none"/>
              </w:rPr>
            </w:pPr>
          </w:p>
        </w:tc>
        <w:tc>
          <w:tcPr>
            <w:tcW w:w="2111" w:type="dxa"/>
            <w:vAlign w:val="center"/>
          </w:tcPr>
          <w:p>
            <w:pPr>
              <w:ind w:firstLine="358" w:firstLineChars="128"/>
              <w:jc w:val="center"/>
              <w:rPr>
                <w:rFonts w:ascii="楷体" w:hAnsi="楷体" w:eastAsia="楷体" w:cs="楷体"/>
                <w:color w:val="auto"/>
                <w:sz w:val="28"/>
                <w:szCs w:val="28"/>
                <w:highlight w:val="none"/>
              </w:rPr>
            </w:pPr>
          </w:p>
        </w:tc>
      </w:tr>
    </w:tbl>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bookmarkStart w:id="1" w:name="_GoBack"/>
      <w:bookmarkEnd w:id="1"/>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highlight w:val="none"/>
        </w:rPr>
      </w:pPr>
    </w:p>
    <w:p>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pPr>
        <w:rPr>
          <w:rFonts w:hint="eastAsia" w:ascii="楷体" w:hAnsi="楷体" w:eastAsia="楷体" w:cs="楷体"/>
          <w:color w:val="auto"/>
          <w:kern w:val="0"/>
          <w:sz w:val="28"/>
          <w:szCs w:val="28"/>
          <w:highlight w:val="none"/>
          <w:lang w:bidi="ar"/>
        </w:rPr>
      </w:pPr>
    </w:p>
    <w:p>
      <w:pPr>
        <w:ind w:firstLine="0" w:firstLineChars="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甲方：</w:t>
      </w:r>
    </w:p>
    <w:p>
      <w:pPr>
        <w:ind w:firstLine="0"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乙方：</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公共安全</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r>
        <w:rPr>
          <w:rFonts w:hint="eastAsia" w:ascii="楷体" w:hAnsi="楷体" w:eastAsia="楷体" w:cs="楷体"/>
          <w:color w:val="auto"/>
          <w:kern w:val="0"/>
          <w:sz w:val="28"/>
          <w:szCs w:val="28"/>
          <w:highlight w:val="none"/>
          <w:lang w:val="en-US" w:eastAsia="zh-CN" w:bidi="ar"/>
        </w:rPr>
        <w:t>甲方将不定期对乙方进行安全培训并发放相关宣传资料，乙方需予以配合。</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pPr>
        <w:ind w:firstLine="560" w:firstLineChars="200"/>
        <w:rPr>
          <w:rFonts w:hint="eastAsia" w:ascii="楷体" w:hAnsi="楷体" w:eastAsia="楷体" w:cs="楷体"/>
          <w:color w:val="000000" w:themeColor="text1"/>
          <w:sz w:val="28"/>
          <w:szCs w:val="28"/>
          <w:highlight w:val="none"/>
          <w:lang w:val="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eastAsia="zh-CN"/>
        </w:rPr>
        <w:t>整改</w:t>
      </w:r>
      <w:r>
        <w:rPr>
          <w:rFonts w:hint="eastAsia" w:ascii="楷体" w:hAnsi="楷体" w:eastAsia="楷体" w:cs="楷体"/>
          <w:color w:val="auto"/>
          <w:sz w:val="28"/>
          <w:szCs w:val="28"/>
          <w:highlight w:val="none"/>
          <w:lang w:val="en-US" w:eastAsia="zh-CN"/>
        </w:rPr>
        <w:t>单</w:t>
      </w:r>
      <w:r>
        <w:rPr>
          <w:rFonts w:hint="eastAsia" w:ascii="楷体" w:hAnsi="楷体" w:eastAsia="楷体" w:cs="楷体"/>
          <w:color w:val="auto"/>
          <w:sz w:val="28"/>
          <w:szCs w:val="28"/>
          <w:highlight w:val="none"/>
          <w:lang w:val="zh-CN" w:eastAsia="zh-CN"/>
        </w:rPr>
        <w:t>），应立即进行整改。</w:t>
      </w:r>
      <w:r>
        <w:rPr>
          <w:rFonts w:hint="eastAsia" w:ascii="楷体" w:hAnsi="楷体" w:eastAsia="楷体" w:cs="楷体"/>
          <w:color w:val="auto"/>
          <w:sz w:val="28"/>
          <w:szCs w:val="28"/>
          <w:highlight w:val="none"/>
          <w:lang w:val="zh-CN"/>
        </w:rPr>
        <w:t>对一时无法解决的</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w:t>
      </w:r>
      <w:r>
        <w:rPr>
          <w:rFonts w:hint="eastAsia" w:ascii="楷体" w:hAnsi="楷体" w:eastAsia="楷体" w:cs="楷体"/>
          <w:color w:val="auto"/>
          <w:sz w:val="28"/>
          <w:szCs w:val="28"/>
          <w:highlight w:val="none"/>
          <w:lang w:val="en-US" w:eastAsia="zh-CN"/>
        </w:rPr>
        <w:t>等相关规定</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作为房屋使用安全责任人</w:t>
      </w:r>
      <w:r>
        <w:rPr>
          <w:rFonts w:hint="eastAsia" w:ascii="楷体" w:hAnsi="楷体" w:eastAsia="楷体" w:cs="楷体"/>
          <w:color w:val="auto"/>
          <w:sz w:val="28"/>
          <w:szCs w:val="28"/>
          <w:highlight w:val="none"/>
          <w:lang w:val="en-US" w:eastAsia="zh-CN"/>
        </w:rPr>
        <w:t>需严格</w:t>
      </w:r>
      <w:r>
        <w:rPr>
          <w:rFonts w:hint="eastAsia" w:ascii="楷体" w:hAnsi="楷体" w:eastAsia="楷体" w:cs="楷体"/>
          <w:color w:val="auto"/>
          <w:sz w:val="28"/>
          <w:szCs w:val="28"/>
          <w:highlight w:val="none"/>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w:t>
      </w:r>
      <w:r>
        <w:rPr>
          <w:rFonts w:hint="eastAsia" w:ascii="楷体" w:hAnsi="楷体" w:eastAsia="楷体" w:cs="楷体"/>
          <w:color w:val="auto"/>
          <w:kern w:val="2"/>
          <w:sz w:val="28"/>
          <w:szCs w:val="28"/>
          <w:highlight w:val="none"/>
          <w:lang w:val="en-US" w:eastAsia="zh-CN" w:bidi="ar"/>
        </w:rPr>
        <w:t>厨房电器、</w:t>
      </w:r>
      <w:r>
        <w:rPr>
          <w:rFonts w:hint="eastAsia" w:ascii="楷体" w:hAnsi="楷体" w:eastAsia="楷体" w:cs="楷体"/>
          <w:color w:val="auto"/>
          <w:sz w:val="28"/>
          <w:szCs w:val="28"/>
          <w:highlight w:val="none"/>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highlight w:val="none"/>
          <w:lang w:val="en-US" w:eastAsia="zh-CN" w:bidi="ar"/>
        </w:rPr>
        <w:t>要求</w:t>
      </w:r>
      <w:r>
        <w:rPr>
          <w:rFonts w:hint="eastAsia" w:ascii="楷体" w:hAnsi="楷体" w:eastAsia="楷体" w:cs="楷体"/>
          <w:color w:val="auto"/>
          <w:sz w:val="28"/>
          <w:szCs w:val="28"/>
          <w:highlight w:val="none"/>
          <w:lang w:val="en-US" w:eastAsia="zh-CN"/>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pPr>
        <w:ind w:firstLine="560" w:firstLineChars="200"/>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highlight w:val="none"/>
          <w:lang w:bidi="ar"/>
        </w:rPr>
        <w:t>，</w:t>
      </w:r>
      <w:r>
        <w:rPr>
          <w:rFonts w:hint="eastAsia" w:ascii="楷体" w:hAnsi="楷体" w:eastAsia="楷体" w:cs="楷体"/>
          <w:color w:val="auto"/>
          <w:kern w:val="0"/>
          <w:sz w:val="28"/>
          <w:szCs w:val="28"/>
          <w:highlight w:val="none"/>
          <w:lang w:val="en-US" w:eastAsia="zh-CN" w:bidi="ar"/>
        </w:rPr>
        <w:t>乙方</w:t>
      </w:r>
      <w:r>
        <w:rPr>
          <w:rFonts w:hint="eastAsia" w:ascii="楷体" w:hAnsi="楷体" w:eastAsia="楷体" w:cs="楷体"/>
          <w:color w:val="auto"/>
          <w:kern w:val="0"/>
          <w:sz w:val="28"/>
          <w:szCs w:val="28"/>
          <w:highlight w:val="none"/>
          <w:lang w:bidi="ar"/>
        </w:rPr>
        <w:t>应</w:t>
      </w:r>
      <w:r>
        <w:rPr>
          <w:rFonts w:hint="eastAsia" w:ascii="楷体" w:hAnsi="楷体" w:eastAsia="楷体" w:cs="楷体"/>
          <w:color w:val="auto"/>
          <w:kern w:val="0"/>
          <w:sz w:val="28"/>
          <w:szCs w:val="28"/>
          <w:highlight w:val="none"/>
          <w:lang w:eastAsia="zh-CN" w:bidi="ar"/>
        </w:rPr>
        <w:t>在</w:t>
      </w:r>
      <w:r>
        <w:rPr>
          <w:rFonts w:hint="eastAsia" w:ascii="楷体" w:hAnsi="楷体" w:eastAsia="楷体" w:cs="楷体"/>
          <w:color w:val="auto"/>
          <w:kern w:val="0"/>
          <w:sz w:val="28"/>
          <w:szCs w:val="28"/>
          <w:highlight w:val="none"/>
          <w:lang w:val="en-US" w:eastAsia="zh-CN" w:bidi="ar"/>
        </w:rPr>
        <w:t>接到信息后5分钟内</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val="en-US" w:eastAsia="zh-CN" w:bidi="ar"/>
        </w:rPr>
        <w:t>。乙方及时、完整</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eastAsia="zh-CN" w:bidi="ar"/>
        </w:rPr>
        <w:t>的，</w:t>
      </w:r>
      <w:r>
        <w:rPr>
          <w:rFonts w:hint="eastAsia" w:ascii="楷体" w:hAnsi="楷体" w:eastAsia="楷体" w:cs="楷体"/>
          <w:color w:val="auto"/>
          <w:kern w:val="0"/>
          <w:sz w:val="28"/>
          <w:szCs w:val="28"/>
          <w:highlight w:val="none"/>
          <w:lang w:val="en-US" w:eastAsia="zh-CN" w:bidi="ar"/>
        </w:rPr>
        <w:t>甲方有权根据乙方违约程度要求支付相应安全管理责任违约金（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伍仟元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陆万元）；</w:t>
      </w:r>
      <w:r>
        <w:rPr>
          <w:rFonts w:hint="eastAsia" w:ascii="楷体" w:hAnsi="楷体" w:eastAsia="楷体" w:cs="楷体"/>
          <w:color w:val="auto"/>
          <w:kern w:val="0"/>
          <w:sz w:val="28"/>
          <w:szCs w:val="28"/>
          <w:highlight w:val="none"/>
          <w:lang w:bidi="ar"/>
        </w:rPr>
        <w:t>如</w:t>
      </w:r>
      <w:r>
        <w:rPr>
          <w:rFonts w:hint="eastAsia" w:ascii="楷体" w:hAnsi="楷体" w:eastAsia="楷体" w:cs="楷体"/>
          <w:color w:val="auto"/>
          <w:kern w:val="0"/>
          <w:sz w:val="28"/>
          <w:szCs w:val="28"/>
          <w:highlight w:val="none"/>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highlight w:val="none"/>
          <w:lang w:bidi="ar"/>
        </w:rPr>
        <w:t>有权</w:t>
      </w:r>
      <w:r>
        <w:rPr>
          <w:rFonts w:hint="eastAsia" w:ascii="楷体" w:hAnsi="楷体" w:eastAsia="楷体" w:cs="楷体"/>
          <w:color w:val="auto"/>
          <w:kern w:val="0"/>
          <w:sz w:val="28"/>
          <w:szCs w:val="28"/>
          <w:highlight w:val="none"/>
          <w:lang w:val="en-US" w:eastAsia="zh-CN" w:bidi="ar"/>
        </w:rPr>
        <w:t>要求乙</w:t>
      </w:r>
      <w:r>
        <w:rPr>
          <w:rFonts w:hint="eastAsia" w:ascii="楷体" w:hAnsi="楷体" w:eastAsia="楷体" w:cs="楷体"/>
          <w:color w:val="auto"/>
          <w:kern w:val="0"/>
          <w:sz w:val="28"/>
          <w:szCs w:val="28"/>
          <w:highlight w:val="none"/>
          <w:lang w:bidi="ar"/>
        </w:rPr>
        <w:t>方</w:t>
      </w:r>
      <w:r>
        <w:rPr>
          <w:rFonts w:hint="eastAsia" w:ascii="楷体" w:hAnsi="楷体" w:eastAsia="楷体" w:cs="楷体"/>
          <w:color w:val="auto"/>
          <w:kern w:val="0"/>
          <w:sz w:val="28"/>
          <w:szCs w:val="28"/>
          <w:highlight w:val="none"/>
          <w:lang w:val="en-US" w:eastAsia="zh-CN" w:bidi="ar"/>
        </w:rPr>
        <w:t>支付相应违约金（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壹万元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壹拾万元）。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kern w:val="0"/>
          <w:sz w:val="28"/>
          <w:szCs w:val="28"/>
          <w:highlight w:val="none"/>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highlight w:val="none"/>
          <w:lang w:bidi="ar"/>
        </w:rPr>
        <w:t>保证金中扣除</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不足部分乙方需另行支付，同时乙方需及时向甲方补足履约保证金</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w:t>
      </w:r>
      <w:r>
        <w:rPr>
          <w:rFonts w:hint="eastAsia" w:ascii="楷体" w:hAnsi="楷体" w:eastAsia="楷体" w:cs="楷体"/>
          <w:color w:val="auto"/>
          <w:kern w:val="0"/>
          <w:sz w:val="28"/>
          <w:szCs w:val="28"/>
          <w:highlight w:val="none"/>
          <w:lang w:val="en-US" w:eastAsia="zh-CN" w:bidi="ar"/>
        </w:rPr>
        <w:t>消除隐患</w:t>
      </w:r>
      <w:r>
        <w:rPr>
          <w:rFonts w:hint="eastAsia" w:ascii="楷体" w:hAnsi="楷体" w:eastAsia="楷体" w:cs="楷体"/>
          <w:color w:val="auto"/>
          <w:sz w:val="28"/>
          <w:szCs w:val="28"/>
          <w:highlight w:val="none"/>
        </w:rPr>
        <w:t>整改工作，如限期未整改</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w:t>
      </w:r>
      <w:r>
        <w:rPr>
          <w:rFonts w:hint="eastAsia" w:ascii="楷体" w:hAnsi="楷体" w:eastAsia="楷体" w:cs="楷体"/>
          <w:color w:val="auto"/>
          <w:kern w:val="0"/>
          <w:sz w:val="28"/>
          <w:szCs w:val="28"/>
          <w:highlight w:val="none"/>
          <w:lang w:val="en-US" w:eastAsia="zh-CN" w:bidi="ar"/>
        </w:rPr>
        <w:t>因乙方拖延不整改、拒不整改或</w:t>
      </w:r>
      <w:r>
        <w:rPr>
          <w:rFonts w:hint="eastAsia" w:ascii="楷体" w:hAnsi="楷体" w:eastAsia="楷体" w:cs="楷体"/>
          <w:color w:val="auto"/>
          <w:kern w:val="0"/>
          <w:sz w:val="28"/>
          <w:szCs w:val="28"/>
          <w:highlight w:val="none"/>
          <w:lang w:bidi="ar"/>
        </w:rPr>
        <w:t>同一安全隐患</w:t>
      </w:r>
      <w:r>
        <w:rPr>
          <w:rFonts w:hint="eastAsia" w:ascii="楷体" w:hAnsi="楷体" w:eastAsia="楷体" w:cs="楷体"/>
          <w:color w:val="auto"/>
          <w:kern w:val="0"/>
          <w:sz w:val="28"/>
          <w:szCs w:val="28"/>
          <w:highlight w:val="none"/>
          <w:lang w:val="en-US" w:eastAsia="zh-CN" w:bidi="ar"/>
        </w:rPr>
        <w:t>反复出现，</w:t>
      </w:r>
      <w:r>
        <w:rPr>
          <w:rFonts w:hint="eastAsia" w:ascii="楷体" w:hAnsi="楷体" w:eastAsia="楷体" w:cs="楷体"/>
          <w:color w:val="auto"/>
          <w:sz w:val="28"/>
          <w:szCs w:val="28"/>
          <w:highlight w:val="none"/>
        </w:rPr>
        <w:t>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w:t>
      </w:r>
      <w:r>
        <w:rPr>
          <w:rFonts w:hint="eastAsia" w:ascii="楷体" w:hAnsi="楷体" w:eastAsia="楷体" w:cs="楷体"/>
          <w:color w:val="auto"/>
          <w:sz w:val="28"/>
          <w:szCs w:val="28"/>
          <w:highlight w:val="none"/>
          <w:lang w:val="en-US" w:eastAsia="zh-CN"/>
        </w:rPr>
        <w:t>签订的房屋</w:t>
      </w:r>
      <w:r>
        <w:rPr>
          <w:rFonts w:hint="eastAsia" w:ascii="楷体" w:hAnsi="楷体" w:eastAsia="楷体" w:cs="楷体"/>
          <w:color w:val="auto"/>
          <w:sz w:val="28"/>
          <w:szCs w:val="28"/>
          <w:highlight w:val="none"/>
        </w:rPr>
        <w:t>租赁合同</w:t>
      </w:r>
      <w:r>
        <w:rPr>
          <w:rFonts w:hint="eastAsia" w:ascii="楷体" w:hAnsi="楷体" w:eastAsia="楷体" w:cs="楷体"/>
          <w:color w:val="auto"/>
          <w:sz w:val="28"/>
          <w:szCs w:val="28"/>
          <w:highlight w:val="none"/>
          <w:lang w:val="en-US" w:eastAsia="zh-CN"/>
        </w:rPr>
        <w:t>中</w:t>
      </w:r>
      <w:r>
        <w:rPr>
          <w:rFonts w:hint="eastAsia" w:ascii="楷体" w:hAnsi="楷体" w:eastAsia="楷体" w:cs="楷体"/>
          <w:color w:val="auto"/>
          <w:sz w:val="28"/>
          <w:szCs w:val="28"/>
          <w:highlight w:val="none"/>
        </w:rPr>
        <w:t>约定</w:t>
      </w:r>
      <w:r>
        <w:rPr>
          <w:rFonts w:hint="eastAsia" w:ascii="楷体" w:hAnsi="楷体" w:eastAsia="楷体" w:cs="楷体"/>
          <w:color w:val="auto"/>
          <w:sz w:val="28"/>
          <w:szCs w:val="28"/>
          <w:highlight w:val="none"/>
          <w:lang w:val="en-US" w:eastAsia="zh-CN"/>
        </w:rPr>
        <w:t>的内容</w:t>
      </w:r>
      <w:r>
        <w:rPr>
          <w:rFonts w:hint="eastAsia" w:ascii="楷体" w:hAnsi="楷体" w:eastAsia="楷体" w:cs="楷体"/>
          <w:color w:val="auto"/>
          <w:sz w:val="28"/>
          <w:szCs w:val="28"/>
          <w:highlight w:val="none"/>
        </w:rPr>
        <w:t>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rPr>
        <w:t>律师费、仲裁费、诉讼费、保全费、审计费、鉴定费</w:t>
      </w:r>
      <w:r>
        <w:rPr>
          <w:rFonts w:hint="eastAsia" w:ascii="楷体" w:hAnsi="楷体" w:eastAsia="楷体" w:cs="楷体"/>
          <w:color w:val="auto"/>
          <w:sz w:val="28"/>
          <w:szCs w:val="28"/>
          <w:highlight w:val="none"/>
          <w:lang w:val="en-US" w:eastAsia="zh-CN"/>
        </w:rPr>
        <w:t>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pPr>
        <w:adjustRightInd w:val="0"/>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甲方（盖章）：</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签订日期：    年   月   日</w:t>
      </w:r>
    </w:p>
    <w:p>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bl>
    <w:p>
      <w:pPr>
        <w:rPr>
          <w:rFonts w:eastAsia="仿宋_GB2312"/>
          <w:b/>
          <w:bCs/>
          <w:color w:val="auto"/>
          <w:szCs w:val="21"/>
          <w:highlight w:val="none"/>
        </w:rPr>
      </w:pPr>
      <w:r>
        <w:rPr>
          <w:rFonts w:eastAsia="仿宋_GB2312"/>
          <w:b/>
          <w:bCs/>
          <w:color w:val="auto"/>
          <w:szCs w:val="21"/>
          <w:highlight w:val="none"/>
        </w:rPr>
        <w:t xml:space="preserve"> </w:t>
      </w:r>
    </w:p>
    <w:p>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pPr>
        <w:ind w:left="440" w:hanging="440"/>
        <w:rPr>
          <w:rFonts w:eastAsia="仿宋_GB2312"/>
          <w:color w:val="auto"/>
          <w:szCs w:val="21"/>
          <w:highlight w:val="none"/>
        </w:rPr>
      </w:pPr>
      <w:r>
        <w:rPr>
          <w:rFonts w:eastAsia="仿宋_GB2312"/>
          <w:color w:val="auto"/>
          <w:szCs w:val="21"/>
          <w:highlight w:val="non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pPr>
        <w:rPr>
          <w:rFonts w:eastAsia="仿宋_GB2312"/>
          <w:b/>
          <w:bCs/>
          <w:color w:val="auto"/>
          <w:szCs w:val="21"/>
          <w:highlight w:val="none"/>
        </w:rPr>
      </w:pPr>
    </w:p>
    <w:p>
      <w:pPr>
        <w:rPr>
          <w:rFonts w:eastAsia="仿宋_GB2312"/>
          <w:b/>
          <w:bCs/>
          <w:color w:val="auto"/>
          <w:szCs w:val="21"/>
          <w:highlight w:val="none"/>
        </w:rPr>
      </w:pPr>
    </w:p>
    <w:p>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BE0EA-5CB0-4E1C-8EB9-0F2E6EC9C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BAEAB782-E8B4-431D-B443-B00E2C5ED96C}"/>
  </w:font>
  <w:font w:name="楷体">
    <w:panose1 w:val="02010609060101010101"/>
    <w:charset w:val="86"/>
    <w:family w:val="modern"/>
    <w:pitch w:val="default"/>
    <w:sig w:usb0="800002BF" w:usb1="38CF7CFA" w:usb2="00000016" w:usb3="00000000" w:csb0="00040001" w:csb1="00000000"/>
    <w:embedRegular r:id="rId3" w:fontKey="{D1AAC514-BE60-4EB1-9D9C-0B154A898D87}"/>
  </w:font>
  <w:font w:name="仿宋_GB2312">
    <w:panose1 w:val="02010609030101010101"/>
    <w:charset w:val="86"/>
    <w:family w:val="auto"/>
    <w:pitch w:val="default"/>
    <w:sig w:usb0="00000001" w:usb1="080E0000" w:usb2="00000000" w:usb3="00000000" w:csb0="00040000" w:csb1="00000000"/>
    <w:embedRegular r:id="rId4" w:fontKey="{4FA093B6-9EEB-44BA-A998-017354FA0BAB}"/>
  </w:font>
  <w:font w:name="仿宋">
    <w:panose1 w:val="02010609060101010101"/>
    <w:charset w:val="86"/>
    <w:family w:val="auto"/>
    <w:pitch w:val="default"/>
    <w:sig w:usb0="800002BF" w:usb1="38CF7CFA" w:usb2="00000016" w:usb3="00000000" w:csb0="00040001" w:csb1="00000000"/>
    <w:embedRegular r:id="rId5" w:fontKey="{1381A160-BEA4-4DE2-A833-DC2046E0D05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BD680D"/>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77335C"/>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15956</Words>
  <Characters>16398</Characters>
  <Lines>127</Lines>
  <Paragraphs>35</Paragraphs>
  <TotalTime>60</TotalTime>
  <ScaleCrop>false</ScaleCrop>
  <LinksUpToDate>false</LinksUpToDate>
  <CharactersWithSpaces>17840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HJS-CL</cp:lastModifiedBy>
  <cp:lastPrinted>2025-04-17T07:16:00Z</cp:lastPrinted>
  <dcterms:modified xsi:type="dcterms:W3CDTF">2025-11-13T03:49:05Z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2AA9ED0289B14D61A29416862277EC3B_13</vt:lpwstr>
  </property>
  <property fmtid="{D5CDD505-2E9C-101B-9397-08002B2CF9AE}" pid="4" name="KSOTemplateDocerSaveRecord">
    <vt:lpwstr>eyJoZGlkIjoiMjUwYzE5NmIyZGM3MGJkNmNjNzkxODQwOTA4ZTJhZTMiLCJ1c2VySWQiOiIxNzUxNjQ1MDAzIn0=</vt:lpwstr>
  </property>
</Properties>
</file>