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杭州市拱墅区朝晖二小区43幢2单元401室房产</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5个工作日内，携带受让申请材料原件到杭交所完成现场确认并签署交易记录、《成交通知书》、《资产交易合同》；并在《成交通知书》、《资产交易合同》签署之日起20个工作日内向杭交所指定账户一次性支付交易价款等交易资金（《资产交易合同》签署当日，其交纳的对应标的的交易保证金转为履约保证金，待应支付的剩余款项全部到账后，履约保证金再转为交易价款的一部分）（以到账时间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支付预付款（按成交价1.5%计收，多退少补）。</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对符合按揭政策的受让方申请用杭交所指定银行按揭贷款支付成交款项并获得银行核准的，须在《成交通知书》、《资产交易合同》签署之日起5个工作日内付清首付款、预付款（按成交价1.5%计收，多退少补）和权证过户服务费，余款用按揭贷款支付【《资产交易合同》签署当日，受让方交纳的对应标的的交易保证金转为履约保证金，待应支付的剩余首付款全部到账后，履约保证金再转为首付款的一部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若受让方按揭贷款审批未通过的，受让方应自按揭贷款审核不通过之日起10个工作日内向杭交所指定账户一次性付清全部交易价款（原交易保证金转为履约保证金）。</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w:t>
      </w:r>
      <w:bookmarkStart w:id="0" w:name="_GoBack"/>
      <w:bookmarkEnd w:id="0"/>
      <w:r>
        <w:rPr>
          <w:rFonts w:hint="eastAsia" w:cs="Times New Roman" w:asciiTheme="minorEastAsia" w:hAnsiTheme="minorEastAsia" w:eastAsiaTheme="minorEastAsia"/>
          <w:b w:val="0"/>
          <w:bCs w:val="0"/>
          <w:szCs w:val="21"/>
          <w:lang w:val="en-US" w:eastAsia="zh-CN"/>
        </w:rPr>
        <w:t>在经转让方申请之日起3个工作日内将受让方已交纳的交易价款全部划转至转让方指定账户。</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（6）已知悉并同意：物业管理费从交接次月起由受让方承担。水、电开户的相关手续及费用由受让方自理，但是否可以重新开户不在转让方合同义务范围内，具体按照交易标的情况和政府相关管理规定执行。</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（8）已知悉：本次交易标的只限于权证核定的面积范围内。标的房屋如有漏水或需维修的情况，均由受让方自理,转让方不承担任何费用和责任。</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（9）已知悉并同意：不能保证交易标的原户主户口是否迁出，如有未迁出的情况发生，转让方通知原户主把户口迁出，但有关学区房孩子能否就读的情况请意向受让方自行查证，对此转让方不做承诺。</w:t>
      </w:r>
    </w:p>
    <w:p>
      <w:pPr>
        <w:spacing w:line="240" w:lineRule="auto"/>
        <w:ind w:firstLine="420" w:firstLineChars="200"/>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（10）已知悉并同意：被确认为受让方后如果选择银行贷款支付交易价款的，同意由杭交所对受让方支付到产金所账户“个人中心-未使用资金”的首付款进行扣除。</w:t>
      </w:r>
    </w:p>
    <w:p>
      <w:pPr>
        <w:spacing w:line="240" w:lineRule="auto"/>
        <w:ind w:firstLine="420" w:firstLineChars="200"/>
        <w:rPr>
          <w:rFonts w:hint="default"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（11）已知悉：本次转让方与受让方的权利义务以及房屋的交接，最终以转让方提供的《资产交易合同》样本为准。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若非转让方原因，出现以下任一情况时，意向受让方交纳的保证金不予退还，先用于补偿杭交所、经纪会员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BEB7A3B"/>
    <w:rsid w:val="2C444127"/>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10339B9"/>
    <w:rsid w:val="64127BB2"/>
    <w:rsid w:val="646972B1"/>
    <w:rsid w:val="67FE4DC6"/>
    <w:rsid w:val="6B0965FB"/>
    <w:rsid w:val="6BF86C61"/>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D3FD747B"/>
    <w:rsid w:val="EF7F9A8A"/>
    <w:rsid w:val="FCF351C5"/>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2</TotalTime>
  <ScaleCrop>false</ScaleCrop>
  <LinksUpToDate>false</LinksUpToDate>
  <CharactersWithSpaces>2221</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2020-04-12T01:14:00Z</dcterms:created>
  <dc:creator>zxy</dc:creator>
  <cp:lastModifiedBy>xuanjn</cp:lastModifiedBy>
  <dcterms:modified xsi:type="dcterms:W3CDTF">2025-11-12T14:06:14Z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6BF42B4F32C0BDB0640D0C69CAA5E8E6</vt:lpwstr>
  </property>
</Properties>
</file>