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朱某绯债权</w:t>
      </w:r>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3、我方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我方同意在被确定为受让方之日起2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5、我方同意按照转让方要求3个工作日内，自行与转让方完成确认和签署《债权转让协议》。</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6、我方同意剩余交易价款由转让方和受让方自行结算，由受让方按照《债权转让协议》约定向转让方指定账户（户名： 宁波银行股份有限公司杭州分行；开户行： 宁波银行股份有限公司杭州分行 ；帐号：71010122002430020），详见《债权转让协议》具体约定。</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7、我方同意杭交所在经转让方申请之日起3个工作日内将受让方已交纳的交易价款全部划转至转让方指定账户（户名： 宁波银行股份有限公司杭州分行；开户行： 宁波银行股份有限公司杭州分行 ；帐号：71010122002430020）。</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8、同意对拟受让债权（包括所涉的诉讼、执行等情况）进行了充分的调查与了解，并对拟受让债权的保证情况均做了充分了解并知情，愿意按</w:t>
      </w:r>
      <w:bookmarkStart w:id="0" w:name="_GoBack"/>
      <w:bookmarkEnd w:id="0"/>
      <w:r>
        <w:rPr>
          <w:rFonts w:hint="eastAsia" w:cs="Times New Roman" w:asciiTheme="minorEastAsia" w:hAnsiTheme="minorEastAsia" w:eastAsiaTheme="minorEastAsia"/>
          <w:sz w:val="21"/>
          <w:szCs w:val="21"/>
          <w:highlight w:val="none"/>
          <w:lang w:val="en-US" w:eastAsia="zh-CN"/>
        </w:rPr>
        <w:t>现状受让该债权，知悉并接受所有可能的瑕疵、风险。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宋体" w:hAnsi="宋体" w:cs="Times New Roman"/>
          <w:i w:val="0"/>
          <w:iCs w:val="0"/>
          <w:sz w:val="21"/>
          <w:szCs w:val="21"/>
          <w:highlight w:val="none"/>
          <w:lang w:val="en-US" w:eastAsia="zh-CN"/>
        </w:rPr>
        <w:t>10</w:t>
      </w:r>
      <w:r>
        <w:rPr>
          <w:rFonts w:hint="eastAsia" w:ascii="宋体" w:hAnsi="宋体" w:eastAsia="宋体" w:cs="Times New Roman"/>
          <w:i w:val="0"/>
          <w:iCs w:val="0"/>
          <w:sz w:val="21"/>
          <w:szCs w:val="21"/>
          <w:highlight w:val="none"/>
        </w:rPr>
        <w:t>、</w:t>
      </w:r>
      <w:r>
        <w:rPr>
          <w:rFonts w:hint="eastAsia" w:ascii="宋体" w:hAnsi="宋体" w:eastAsia="宋体" w:cs="Times New Roman"/>
          <w:i w:val="0"/>
          <w:iCs w:val="0"/>
          <w:sz w:val="21"/>
          <w:szCs w:val="21"/>
          <w:highlight w:val="none"/>
          <w:lang w:val="en-US" w:eastAsia="zh-CN"/>
        </w:rPr>
        <w:t>本项目标的交付以</w:t>
      </w:r>
      <w:r>
        <w:rPr>
          <w:rFonts w:hint="eastAsia" w:ascii="宋体" w:hAnsi="宋体" w:eastAsia="宋体" w:cs="Times New Roman"/>
          <w:i w:val="0"/>
          <w:iCs w:val="0"/>
          <w:sz w:val="21"/>
          <w:szCs w:val="21"/>
          <w:highlight w:val="none"/>
          <w:u w:val="single"/>
          <w:lang w:val="en-US" w:eastAsia="zh-CN"/>
        </w:rPr>
        <w:t>《</w:t>
      </w:r>
      <w:r>
        <w:rPr>
          <w:rFonts w:hint="eastAsia" w:ascii="宋体" w:hAnsi="宋体"/>
          <w:sz w:val="21"/>
          <w:szCs w:val="21"/>
          <w:highlight w:val="none"/>
          <w:u w:val="single"/>
          <w:lang w:val="en-US" w:eastAsia="zh-CN"/>
        </w:rPr>
        <w:t>债权</w:t>
      </w:r>
      <w:r>
        <w:rPr>
          <w:rFonts w:hint="eastAsia" w:ascii="宋体" w:hAnsi="宋体"/>
          <w:sz w:val="21"/>
          <w:szCs w:val="21"/>
          <w:highlight w:val="none"/>
          <w:u w:val="single"/>
        </w:rPr>
        <w:t>转让协议</w:t>
      </w:r>
      <w:r>
        <w:rPr>
          <w:rFonts w:hint="eastAsia" w:ascii="宋体" w:hAnsi="宋体" w:eastAsia="宋体" w:cs="Times New Roman"/>
          <w:i w:val="0"/>
          <w:iCs w:val="0"/>
          <w:sz w:val="21"/>
          <w:szCs w:val="21"/>
          <w:highlight w:val="none"/>
          <w:u w:val="single"/>
          <w:lang w:val="en-US" w:eastAsia="zh-CN"/>
        </w:rPr>
        <w:t>》文本相关内容</w:t>
      </w:r>
      <w:r>
        <w:rPr>
          <w:rFonts w:hint="eastAsia" w:ascii="宋体" w:hAnsi="宋体" w:eastAsia="宋体" w:cs="Times New Roman"/>
          <w:i w:val="0"/>
          <w:iCs w:val="0"/>
          <w:sz w:val="21"/>
          <w:szCs w:val="21"/>
          <w:highlight w:val="none"/>
          <w:lang w:val="en-US" w:eastAsia="zh-CN"/>
        </w:rPr>
        <w:t>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同意交纳成交金额0.1%的交易服务费。受让方须自《成交通知书》签署次日起5个工作日内向杭交所指定账户支付交易服务费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（3）在被确定为受让方后未按约定时间签署《成交通知书》、交易记录或未按照转让方要求完成确认和签署《债权转让协议》及相关合同文件的；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8556F"/>
    <w:rsid w:val="019C1EEA"/>
    <w:rsid w:val="01E5402C"/>
    <w:rsid w:val="03066051"/>
    <w:rsid w:val="035209E2"/>
    <w:rsid w:val="03637B8E"/>
    <w:rsid w:val="08023653"/>
    <w:rsid w:val="0B43075A"/>
    <w:rsid w:val="0D091E7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1B73F72"/>
    <w:rsid w:val="32087C04"/>
    <w:rsid w:val="32FB67E2"/>
    <w:rsid w:val="348A4BC2"/>
    <w:rsid w:val="36E143E8"/>
    <w:rsid w:val="374843BB"/>
    <w:rsid w:val="378D420C"/>
    <w:rsid w:val="37C03B4A"/>
    <w:rsid w:val="38DE4956"/>
    <w:rsid w:val="3AAA0760"/>
    <w:rsid w:val="3B103714"/>
    <w:rsid w:val="3B6738AB"/>
    <w:rsid w:val="3D4625FA"/>
    <w:rsid w:val="3E155CF0"/>
    <w:rsid w:val="3EE14E32"/>
    <w:rsid w:val="3F376709"/>
    <w:rsid w:val="42CF40AA"/>
    <w:rsid w:val="45962498"/>
    <w:rsid w:val="461C7CAF"/>
    <w:rsid w:val="46D25304"/>
    <w:rsid w:val="49C56D6D"/>
    <w:rsid w:val="4A0A2EFA"/>
    <w:rsid w:val="4C1C6969"/>
    <w:rsid w:val="4D5779D6"/>
    <w:rsid w:val="4DE741D0"/>
    <w:rsid w:val="508852FA"/>
    <w:rsid w:val="50CB2850"/>
    <w:rsid w:val="5187378F"/>
    <w:rsid w:val="57D5018C"/>
    <w:rsid w:val="585B5B75"/>
    <w:rsid w:val="58A0138A"/>
    <w:rsid w:val="599A5F61"/>
    <w:rsid w:val="5A7D1B2E"/>
    <w:rsid w:val="5B7B2FC6"/>
    <w:rsid w:val="5B881788"/>
    <w:rsid w:val="5D0F752C"/>
    <w:rsid w:val="5E012EA3"/>
    <w:rsid w:val="606008F4"/>
    <w:rsid w:val="6256136A"/>
    <w:rsid w:val="63C12C87"/>
    <w:rsid w:val="64FD58B4"/>
    <w:rsid w:val="65D17423"/>
    <w:rsid w:val="67B63B0A"/>
    <w:rsid w:val="6B7C4F72"/>
    <w:rsid w:val="6BBC636F"/>
    <w:rsid w:val="6BFC67D7"/>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2025-11-12T05:42:05Z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