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bookmarkStart w:id="0" w:name="OLE_LINK15"/>
      <w:r>
        <w:rPr>
          <w:rFonts w:hint="eastAsia" w:asciiTheme="minorEastAsia" w:hAnsiTheme="minorEastAsia" w:eastAsiaTheme="minorEastAsia" w:cstheme="minorEastAsia"/>
          <w:sz w:val="21"/>
          <w:szCs w:val="21"/>
          <w:highlight w:val="none"/>
          <w:u w:val="none"/>
        </w:rPr>
        <w:t>浙A3D7L6</w:t>
      </w:r>
      <w:r>
        <w:rPr>
          <w:rFonts w:hint="eastAsia" w:asciiTheme="minorEastAsia" w:hAnsiTheme="minorEastAsia" w:eastAsiaTheme="minorEastAsia" w:cstheme="minorEastAsia"/>
          <w:sz w:val="21"/>
          <w:szCs w:val="21"/>
          <w:highlight w:val="none"/>
          <w:u w:val="none"/>
          <w:lang w:val="en-US" w:eastAsia="zh-CN"/>
        </w:rPr>
        <w:t>旧机动车</w:t>
      </w:r>
      <w:bookmarkEnd w:id="0"/>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3、同意在被确定为受让方之日起3个工作日内，携带受让申请材料原件到杭交所完成现场确认并签署《资产交易合同》；并在《资产交易合同》签署之日起5个工作日内向杭交所指定账户一次性支付交易服务费、交易价款等交易资金（以到账时间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5、</w:t>
      </w:r>
      <w:r>
        <w:rPr>
          <w:rFonts w:hint="eastAsia" w:asciiTheme="minorEastAsia" w:hAnsiTheme="minorEastAsia" w:eastAsiaTheme="minorEastAsia" w:cstheme="minorEastAsia"/>
          <w:sz w:val="21"/>
          <w:szCs w:val="21"/>
          <w:highlight w:val="none"/>
          <w:u w:val="none"/>
        </w:rPr>
        <w:t>标的物标的名称、规格型号、质量、性能等均以现场展示实物为准。如需维修，一切费用由受让方自理。如车辆在交易前有违章情况，转让方按有关部门的罚款额给予补偿，但扣点由受让方自行解决。标的商业保险视为无。</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w:t>
      </w:r>
      <w:r>
        <w:rPr>
          <w:rFonts w:hint="default" w:asciiTheme="minorEastAsia" w:hAnsiTheme="minorEastAsia" w:eastAsiaTheme="minorEastAsia"/>
          <w:sz w:val="21"/>
          <w:szCs w:val="21"/>
          <w:highlight w:val="none"/>
          <w:u w:val="none"/>
          <w:lang w:val="en-US" w:eastAsia="zh-CN"/>
        </w:rPr>
        <w:t>意向受让方须自行了解其对转让标的受让事项是否符合中国现行法律法规及标的所在地相关政策、规定，自行承担风险。</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7、我方知悉本项目标的交付及转、受双方的权利义务以附件《资产交</w:t>
      </w:r>
      <w:bookmarkStart w:id="1" w:name="_GoBack"/>
      <w:bookmarkEnd w:id="1"/>
      <w:r>
        <w:rPr>
          <w:rFonts w:hint="eastAsia" w:asciiTheme="minorEastAsia" w:hAnsiTheme="minorEastAsia" w:eastAsiaTheme="minorEastAsia"/>
          <w:sz w:val="21"/>
          <w:szCs w:val="21"/>
          <w:highlight w:val="none"/>
          <w:u w:val="none"/>
          <w:lang w:val="en-US" w:eastAsia="zh-CN"/>
        </w:rPr>
        <w:t>易合同》样本相关内容为准。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hint="eastAsia" w:asciiTheme="minorEastAsia" w:hAnsiTheme="minorEastAsia" w:eastAsiaTheme="minorEastAsia"/>
          <w:sz w:val="21"/>
          <w:szCs w:val="21"/>
          <w:highlight w:val="none"/>
          <w:u w:val="none"/>
          <w:lang w:val="en-US" w:eastAsia="zh-CN"/>
        </w:rPr>
        <w:t>交易价款4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9</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61D2A1C"/>
    <w:rsid w:val="08870D9C"/>
    <w:rsid w:val="12B349BA"/>
    <w:rsid w:val="17F41325"/>
    <w:rsid w:val="19F135AE"/>
    <w:rsid w:val="1B006121"/>
    <w:rsid w:val="1F702E6E"/>
    <w:rsid w:val="202D2214"/>
    <w:rsid w:val="20494182"/>
    <w:rsid w:val="2AF97BF0"/>
    <w:rsid w:val="343B25FC"/>
    <w:rsid w:val="34A6048C"/>
    <w:rsid w:val="365D6A3E"/>
    <w:rsid w:val="38A7793D"/>
    <w:rsid w:val="3E9E6059"/>
    <w:rsid w:val="45A04298"/>
    <w:rsid w:val="4ACA072F"/>
    <w:rsid w:val="4C565A6C"/>
    <w:rsid w:val="4CE9142C"/>
    <w:rsid w:val="4F96180D"/>
    <w:rsid w:val="5AE2775F"/>
    <w:rsid w:val="5D4760F7"/>
    <w:rsid w:val="5F5744C8"/>
    <w:rsid w:val="6278475C"/>
    <w:rsid w:val="6C70376D"/>
    <w:rsid w:val="6C7D5259"/>
    <w:rsid w:val="72B66F2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YY</cp:lastModifiedBy>
  <dcterms:modified xsi:type="dcterms:W3CDTF">2025-11-10T09:16:09Z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CF272E92730B412D90BB641F9F89815C</vt:lpwstr>
  </property>
</Properties>
</file>