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rPr>
        <w:t>杭州市西湖区桃源春居9幢103室房产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受让方需要委托经纪会员或经纪会员指定的第三方办理权证过户手续的，经纪会员或经纪会员指定的第三方可提供有偿的权证过户服务，同时受让方还应自《成交通知书》、《资产交易合同》签署之日起20个工作日内支付预付款（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对符合按揭政策的受让方申请用杭交所指定银行按揭贷款支付成交款项并获得银行核准的，须在《成交通知书》、《资产交易合同》签署之日起5个工作日内付清首付款、交易服务费、预付款（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宋体" w:hAnsi="宋体" w:eastAsia="宋体" w:cs="Times New Roman"/>
          <w:i w:val="0"/>
          <w:iCs w:val="0"/>
          <w:sz w:val="21"/>
          <w:szCs w:val="21"/>
          <w:highlight w:val="none"/>
          <w:lang w:val="en-US" w:eastAsia="zh-CN"/>
        </w:rPr>
        <w:t>同意杭交所在经转让方申请之日起3个工作日内将受让方已交纳的交易价款全部划转至转让方指定账户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（3）若我方成为受让方，我方知悉并同意：</w:t>
      </w:r>
      <w:r>
        <w:rPr>
          <w:rFonts w:hint="eastAsia" w:asciiTheme="minorEastAsia" w:hAnsiTheme="minorEastAsia" w:eastAsiaTheme="minorEastAsia"/>
          <w:szCs w:val="21"/>
          <w:lang w:val="en-US" w:eastAsia="zh-CN"/>
        </w:rPr>
        <w:t>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w:t>
      </w:r>
      <w:bookmarkStart w:id="0" w:name="OLE_LINK1"/>
      <w:r>
        <w:rPr>
          <w:rFonts w:hint="eastAsia" w:asciiTheme="minorEastAsia" w:hAnsiTheme="minorEastAsia" w:eastAsiaTheme="minorEastAsia"/>
          <w:szCs w:val="21"/>
          <w:lang w:val="en-US" w:eastAsia="zh-CN"/>
        </w:rPr>
        <w:t>在办理房产权证过户手续过程中所涉及买卖双方应缴纳的税、费，按国家有关规定由转让方与受让方各自承担</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r>
        <w:rPr>
          <w:rFonts w:hint="eastAsia"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（6）若我方成为受让方，我方知悉并同意：</w:t>
      </w:r>
      <w:r>
        <w:rPr>
          <w:rFonts w:hint="eastAsia" w:asciiTheme="minorEastAsia" w:hAnsiTheme="minorEastAsia" w:eastAsiaTheme="minorEastAsia"/>
          <w:szCs w:val="21"/>
          <w:lang w:val="en-US" w:eastAsia="zh-CN"/>
        </w:rPr>
        <w:t>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本次交易标的只限于权证核定的面积范围内。标的房屋如有漏水或需维修的情况，均由受让方自理,转让方不承担任何费用和责任</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已知悉并同意：如有户口未迁出的情况发生，转让方通知原户主把户口迁出，但有关学区房孩子能否就读的情况请意向受让方自行查证，对此转让方</w:t>
      </w:r>
      <w:r>
        <w:rPr>
          <w:rFonts w:hint="eastAsia" w:ascii="宋体" w:hAnsi="宋体" w:cs="宋体"/>
          <w:szCs w:val="21"/>
          <w:lang w:eastAsia="zh-CN"/>
        </w:rPr>
        <w:t>、</w:t>
      </w:r>
      <w:r>
        <w:rPr>
          <w:rFonts w:hint="eastAsia" w:ascii="宋体" w:hAnsi="宋体" w:cs="宋体"/>
          <w:szCs w:val="21"/>
          <w:lang w:val="en-US" w:eastAsia="zh-CN"/>
        </w:rPr>
        <w:t>杭交所</w:t>
      </w:r>
      <w:r>
        <w:rPr>
          <w:rFonts w:hint="eastAsia" w:ascii="宋体" w:hAnsi="宋体" w:cs="宋体"/>
          <w:szCs w:val="21"/>
        </w:rPr>
        <w:t>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若我方成为受让方，已知悉并同意：被确认为受让方后如果选择银行贷款支付交易价款的，同意由杭交所对受让方支付到杭交所指定账户“个人中心-未使用资金”的首付款进行扣除</w:t>
      </w:r>
      <w:r>
        <w:rPr>
          <w:rFonts w:hint="eastAsia" w:ascii="宋体" w:hAnsi="宋体" w:cs="宋体"/>
          <w:szCs w:val="21"/>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）若我方成为受让方，已知悉并同意：</w:t>
      </w:r>
      <w:bookmarkStart w:id="1" w:name="OLE_LINK2"/>
      <w:r>
        <w:rPr>
          <w:rFonts w:hint="eastAsia" w:ascii="宋体" w:hAnsi="宋体" w:cs="宋体"/>
          <w:szCs w:val="21"/>
        </w:rPr>
        <w:t>本次转让方与受让方的权利义务及房屋交付最终以转让方提供的《资产交易合同》（样本）为准。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bookmarkStart w:id="3" w:name="_GoBack"/>
      <w:bookmarkEnd w:id="3"/>
      <w:r>
        <w:rPr>
          <w:rFonts w:hint="eastAsia" w:ascii="宋体" w:hAnsi="宋体" w:cs="宋体"/>
          <w:szCs w:val="21"/>
        </w:rPr>
        <w:t>）</w:t>
      </w:r>
      <w:bookmarkStart w:id="2" w:name="OLE_LINK17"/>
      <w:r>
        <w:rPr>
          <w:rFonts w:hint="eastAsia" w:ascii="宋体" w:hAnsi="宋体" w:cs="宋体"/>
          <w:szCs w:val="21"/>
        </w:rPr>
        <w:t>本项目</w:t>
      </w:r>
      <w:r>
        <w:rPr>
          <w:rFonts w:hint="eastAsia" w:ascii="宋体" w:hAnsi="宋体" w:eastAsia="宋体" w:cs="Times New Roman"/>
          <w:i w:val="0"/>
          <w:iCs w:val="0"/>
          <w:sz w:val="21"/>
          <w:szCs w:val="21"/>
          <w:highlight w:val="none"/>
          <w:lang w:val="en-US" w:eastAsia="zh-CN"/>
        </w:rPr>
        <w:t>受让方须交纳成交金额2.5%的交易服务费</w:t>
      </w:r>
      <w:r>
        <w:rPr>
          <w:rFonts w:hint="eastAsia" w:ascii="宋体" w:hAnsi="宋体" w:cs="宋体"/>
          <w:szCs w:val="21"/>
          <w:lang w:val="en-US" w:eastAsia="zh-CN"/>
        </w:rPr>
        <w:t>。</w:t>
      </w:r>
      <w:bookmarkEnd w:id="2"/>
      <w:r>
        <w:rPr>
          <w:rFonts w:hint="eastAsia" w:ascii="宋体" w:hAnsi="宋体" w:cs="宋体"/>
          <w:szCs w:val="21"/>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A4D26DA"/>
    <w:rsid w:val="21A71F2F"/>
    <w:rsid w:val="244C7748"/>
    <w:rsid w:val="25EF35A9"/>
    <w:rsid w:val="26851B4D"/>
    <w:rsid w:val="2979646E"/>
    <w:rsid w:val="2AE67843"/>
    <w:rsid w:val="2C444127"/>
    <w:rsid w:val="2E064EEA"/>
    <w:rsid w:val="2E71508E"/>
    <w:rsid w:val="30873003"/>
    <w:rsid w:val="30BD3CBE"/>
    <w:rsid w:val="310A7869"/>
    <w:rsid w:val="34B04A19"/>
    <w:rsid w:val="35E50602"/>
    <w:rsid w:val="3617545F"/>
    <w:rsid w:val="37B4166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64479FA"/>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rFonts w:ascii="Times New Roman" w:hAnsi="Times New Roman" w:eastAsia="宋体" w:cs="Times New Roman"/>
      <w:sz w:val="18"/>
      <w:szCs w:val="18"/>
    </w:rPr>
  </w:style>
  <w:style w:type="character" w:customStyle="1" w:styleId="10">
    <w:name w:val="页脚 字符"/>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2</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2025-11-07T07:01:21Z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