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杭州市拱墅区皇亲苑17幢1单元501室房产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按揭贷款支付成交款项并获得银行核准的，须在《成交通知书》、《资产交易合同》签署之日起5个工作日内付清首付款、交易服务费、预付款（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lang w:val="en-US" w:eastAsia="zh-CN"/>
        </w:rPr>
        <w:t>本次交易标的目前土地使用类型为划拨，因办理转让标的权证过户时土地类型变化而产生的土地有偿使用费（包括但不限于土地租赁费或土地出让金等），由转让方承担。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1102E40"/>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