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杭州市上城区紫薇公寓9幢2单元202室房产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w:t>
      </w:r>
      <w:bookmarkStart w:id="0" w:name="_GoBack"/>
      <w:bookmarkEnd w:id="0"/>
      <w:r>
        <w:rPr>
          <w:rFonts w:hint="eastAsia" w:cs="Times New Roman" w:asciiTheme="minorEastAsia" w:hAnsiTheme="minorEastAsia" w:eastAsiaTheme="minorEastAsia"/>
          <w:b w:val="0"/>
          <w:bCs w:val="0"/>
          <w:szCs w:val="21"/>
          <w:lang w:val="en-US" w:eastAsia="zh-CN"/>
        </w:rPr>
        <w:t>成交价1.5%计的预付款（多退少补）。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对符合按揭政策的受让方申请用杭交所指定银行按揭贷款支付成交款项并获得银行核准的，须在《成交通知书》、《资产交易合同》签署之日起5个工作日内付清首付款、交易服务费、成交价1.5%计的预付款（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（12）本次交易标的目前土地使用类型为划拨，因办理转让标的权证过户时土地类型变化而产生的土地有偿使用费（包括但不限于土地租赁费或土地出让金等），由受让方承担。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 w:val="D3FD747B"/>
    <w:rsid w:val="ED3CEB66"/>
    <w:rsid w:val="FF3E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2025-11-06T15:11:17Z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