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承租杭州市拱墅区莫干山200号12幢(5号楼)5</w:t>
      </w:r>
      <w:r>
        <w:rPr>
          <w:rFonts w:hint="eastAsia" w:asciiTheme="minorEastAsia" w:hAnsiTheme="minorEastAsia" w:eastAsiaTheme="minorEastAsia" w:cstheme="minorEastAsia"/>
          <w:sz w:val="21"/>
          <w:szCs w:val="21"/>
          <w:highlight w:val="none"/>
          <w:u w:val="single"/>
          <w:lang w:val="en-US" w:eastAsia="zh-CN"/>
        </w:rPr>
        <w:t>310</w:t>
      </w:r>
      <w:bookmarkStart w:id="0" w:name="_GoBack"/>
      <w:bookmarkEnd w:id="0"/>
      <w:r>
        <w:rPr>
          <w:rFonts w:hint="eastAsia" w:asciiTheme="minorEastAsia" w:hAnsiTheme="minorEastAsia" w:eastAsiaTheme="minorEastAsia" w:cstheme="minorEastAsia"/>
          <w:sz w:val="21"/>
          <w:szCs w:val="21"/>
          <w:highlight w:val="none"/>
          <w:u w:val="single"/>
        </w:rPr>
        <w:t>室</w:t>
      </w:r>
      <w:r>
        <w:rPr>
          <w:rFonts w:hint="eastAsia" w:asciiTheme="minorEastAsia" w:hAnsiTheme="minorEastAsia" w:eastAsiaTheme="minorEastAsia" w:cstheme="minorEastAsia"/>
          <w:sz w:val="21"/>
          <w:szCs w:val="21"/>
          <w:highlight w:val="none"/>
          <w:u w:val="single"/>
          <w:lang w:val="en-US" w:eastAsia="zh-CN"/>
        </w:rPr>
        <w:t>房屋1</w:t>
      </w:r>
      <w:r>
        <w:rPr>
          <w:rFonts w:hint="eastAsia" w:asciiTheme="minorEastAsia" w:hAnsiTheme="minorEastAsia" w:eastAsiaTheme="minorEastAsia" w:cstheme="minorEastAsia"/>
          <w:sz w:val="21"/>
          <w:szCs w:val="21"/>
          <w:highlight w:val="none"/>
          <w:u w:val="single"/>
        </w:rPr>
        <w:t>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承租申请材料原件到杭交所完成现场确认并签署《成交通知书》、交易记录等相关文件，承租方须在出租方通知签署合同的3个工作日内至出租方处签署《房屋租赁合同》；并在《成交通知书》、《房屋租赁合同》签署之日起5个工作日内向杭交所指定账户一次性支付交易服务费、履约保证金（首年3个月租金）和首期租金等交易资金（以到账时间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同意杭交所在经出租方申请之日起3个工作日内将承租方已交纳的履约保证金和首期租金全部划转至出租方指定账户</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5、本次租赁</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lang w:val="en-US" w:eastAsia="zh-CN"/>
        </w:rPr>
        <w:t>房屋，</w:t>
      </w:r>
      <w:r>
        <w:rPr>
          <w:rFonts w:hint="eastAsia" w:asciiTheme="minorEastAsia" w:hAnsiTheme="minorEastAsia" w:eastAsiaTheme="minorEastAsia" w:cstheme="minorEastAsia"/>
          <w:sz w:val="21"/>
          <w:szCs w:val="21"/>
          <w:highlight w:val="none"/>
        </w:rPr>
        <w:t>不动产权证证载权利人为</w:t>
      </w:r>
      <w:r>
        <w:rPr>
          <w:rFonts w:hint="eastAsia" w:asciiTheme="minorEastAsia" w:hAnsiTheme="minorEastAsia" w:eastAsiaTheme="minorEastAsia" w:cstheme="minorEastAsia"/>
          <w:sz w:val="21"/>
          <w:szCs w:val="21"/>
          <w:highlight w:val="none"/>
          <w:lang w:val="en-US" w:eastAsia="zh-CN"/>
        </w:rPr>
        <w:t>浙江省机关事务管理局</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单独</w:t>
      </w:r>
      <w:r>
        <w:rPr>
          <w:rFonts w:hint="eastAsia" w:asciiTheme="minorEastAsia" w:hAnsiTheme="minorEastAsia" w:eastAsiaTheme="minorEastAsia" w:cstheme="minorEastAsia"/>
          <w:sz w:val="21"/>
          <w:szCs w:val="21"/>
          <w:highlight w:val="none"/>
        </w:rPr>
        <w:t>所有，</w:t>
      </w:r>
      <w:r>
        <w:rPr>
          <w:rFonts w:hint="eastAsia" w:asciiTheme="minorEastAsia" w:hAnsiTheme="minorEastAsia" w:eastAsiaTheme="minorEastAsia" w:cstheme="minorEastAsia"/>
          <w:sz w:val="21"/>
          <w:szCs w:val="21"/>
          <w:highlight w:val="none"/>
          <w:lang w:val="en-US" w:eastAsia="zh-CN"/>
        </w:rPr>
        <w:t>证载权利性质为自建房，用途为住宿餐饮用地/旅游。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eastAsia="宋体" w:cs="Times New Roman"/>
          <w:szCs w:val="21"/>
          <w:highlight w:val="none"/>
        </w:rPr>
        <w:t>有关招牌和广告的设置事宜</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应当严格遵守</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、城管和物业服务公司的规章制度，自行负责招牌、广告及其他宣传物的广告发布所需的审批手续并承担报批、制作、安装及维修等费用（如有）。任何第三方未经</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允许，</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不得同意其在</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租赁房屋范围设置招牌或广告。若有发生，相关收益归</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所有，若给</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造成其他损害的，由</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承担连带责任。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Times New Roman"/>
          <w:szCs w:val="21"/>
          <w:highlight w:val="none"/>
        </w:rPr>
        <w:t>双方因签订和履行本合同而应当缴纳的税费，根据国家法律由双方各自依法承担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8、因承租方在承租租赁房屋后所需要的一切政府审批手续（如有），均应当由承租方自行办理并承担费用，出租方给予必要的配合。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r>
        <w:rPr>
          <w:rFonts w:hint="eastAsia" w:ascii="宋体" w:hAnsi="宋体" w:eastAsia="宋体" w:cs="Times New Roman"/>
          <w:szCs w:val="21"/>
          <w:highlight w:val="none"/>
        </w:rPr>
        <w:t>承租方未经出租方书面同意不得擅自将房屋转租、转借租赁房屋或以联营、承包等任何方式转让</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变相转让或调换使用的。如遇承租方确需转租的，承租方应书面向出租方提出申请，并经出租方同意后方可进行</w:t>
      </w:r>
      <w:r>
        <w:rPr>
          <w:rFonts w:hint="eastAsia" w:ascii="宋体" w:hAnsi="宋体" w:eastAsia="宋体" w:cs="Times New Roman"/>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10、出租方与承租方的权利和义务以及租赁房屋的交付以出租方提供的《房屋租赁合同》为准。</w:t>
      </w:r>
    </w:p>
    <w:p>
      <w:pPr>
        <w:ind w:firstLine="420" w:firstLineChars="200"/>
        <w:rPr>
          <w:rFonts w:hint="eastAsia" w:ascii="宋体" w:hAnsi="宋体" w:eastAsia="宋体" w:cs="Times New Roman"/>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w:t>
      </w:r>
      <w:r>
        <w:rPr>
          <w:rFonts w:hint="eastAsia" w:ascii="宋体" w:hAnsi="宋体" w:eastAsia="宋体" w:cs="Times New Roman"/>
          <w:sz w:val="21"/>
          <w:szCs w:val="21"/>
          <w:highlight w:val="none"/>
          <w:lang w:val="en-US" w:eastAsia="zh-CN"/>
        </w:rPr>
        <w:t>本项目成交后，承租方须按以下标准支付交易服务费：</w:t>
      </w:r>
    </w:p>
    <w:p>
      <w:pPr>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出租标的成交的，</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有权向承租方收取首年成交租金溢价部分收费(不溢价不收费)和首年成交租金收费合计计算的交易服务费，收费标准详见下表</w:t>
      </w:r>
      <w:r>
        <w:rPr>
          <w:rFonts w:hint="eastAsia" w:ascii="宋体" w:hAnsi="宋体" w:eastAsia="宋体" w:cs="Times New Roman"/>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drawing>
          <wp:inline distT="0" distB="0" distL="114300" distR="114300">
            <wp:extent cx="3980180" cy="1712595"/>
            <wp:effectExtent l="0" t="0" r="12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980180" cy="1712595"/>
                    </a:xfrm>
                    <a:prstGeom prst="rect">
                      <a:avLst/>
                    </a:prstGeom>
                    <a:noFill/>
                    <a:ln>
                      <a:noFill/>
                    </a:ln>
                  </pic:spPr>
                </pic:pic>
              </a:graphicData>
            </a:graphic>
          </wp:inline>
        </w:drawing>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73E5800"/>
    <w:rsid w:val="1DA37C3B"/>
    <w:rsid w:val="1EEC13A1"/>
    <w:rsid w:val="20A51056"/>
    <w:rsid w:val="27541626"/>
    <w:rsid w:val="27AA290F"/>
    <w:rsid w:val="285D694C"/>
    <w:rsid w:val="2AD428FB"/>
    <w:rsid w:val="2B1F0483"/>
    <w:rsid w:val="2FA5177C"/>
    <w:rsid w:val="32557358"/>
    <w:rsid w:val="32FB67E2"/>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92063D"/>
    <w:rsid w:val="5EE74137"/>
    <w:rsid w:val="62F53709"/>
    <w:rsid w:val="63C12C87"/>
    <w:rsid w:val="655941F8"/>
    <w:rsid w:val="66141D8A"/>
    <w:rsid w:val="663A5F69"/>
    <w:rsid w:val="6B7C4F72"/>
    <w:rsid w:val="6BBC636F"/>
    <w:rsid w:val="6BE8130D"/>
    <w:rsid w:val="6D802092"/>
    <w:rsid w:val="6F750ECD"/>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after="120"/>
      <w:jc w:val="left"/>
    </w:pPr>
    <w:rPr>
      <w:b/>
      <w:bCs/>
      <w:caps/>
      <w:sz w:val="20"/>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2025-10-22T03:32:54Z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