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承租杭州市拱墅区莫干山200号3幢（北楼）323室房屋1年租赁权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B1F0483"/>
    <w:rsid w:val="2C9A1578"/>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2025-10-22T03:35:45Z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