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lang w:val="en-US" w:eastAsia="zh-CN"/>
        </w:rPr>
        <w:t xml:space="preserve"> </w:t>
      </w: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杭州企业产权交易中心有限公司</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u w:val="single"/>
          <w:lang w:eastAsia="zh-CN"/>
        </w:rPr>
        <w:t>杭州市拱墅区坤和中心904室房屋7年租赁权</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 w:val="21"/>
          <w:szCs w:val="21"/>
          <w:highlight w:val="none"/>
        </w:rPr>
        <w:t>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numPr>
          <w:ilvl w:val="0"/>
          <w:numId w:val="0"/>
        </w:numPr>
        <w:spacing w:line="360" w:lineRule="auto"/>
        <w:ind w:firstLine="420" w:firstLineChars="200"/>
        <w:rPr>
          <w:rFonts w:hint="eastAsia" w:eastAsia="宋体" w:asciiTheme="minorEastAsia" w:hAnsiTheme="minorEastAsia"/>
          <w:szCs w:val="21"/>
          <w:lang w:eastAsia="zh-CN"/>
        </w:rPr>
      </w:pPr>
      <w:r>
        <w:rPr>
          <w:rFonts w:hint="eastAsia" w:asciiTheme="minorEastAsia" w:hAnsiTheme="minorEastAsia" w:eastAsiaTheme="minorEastAsia"/>
          <w:szCs w:val="21"/>
        </w:rPr>
        <w:t>3、同意在被确定为承租方之日起3个工作日内携带报名时上传的主体资格证明等相关文件原件至杭交所完成现场确认并签署《成交通知书》、《房屋租赁协议书》、《承租单位安全（消防）管理责任书》、《坤和中心装修改造承诺书》，并在《成交通知书》、《房屋租赁协议书》、《承租单位安全（消防）管理责任书》、《坤和中心装修改造承诺书》签署之日起5个工作日内向杭交所指定账户一次性支付交易服务费、履约保证金和首期租金等交易资金（《房屋租赁协议书》签署当日，承租方交纳的交易保证金依次冲抵交易服务费、履约保证金和首期租金）</w:t>
      </w:r>
      <w:r>
        <w:rPr>
          <w:rFonts w:hint="eastAsia" w:ascii="宋体" w:hAnsi="宋体"/>
          <w:b w:val="0"/>
          <w:bCs/>
          <w:color w:val="auto"/>
          <w:szCs w:val="21"/>
          <w:highlight w:val="none"/>
          <w:lang w:eastAsia="zh-CN"/>
        </w:rPr>
        <w:t>。</w:t>
      </w:r>
    </w:p>
    <w:p>
      <w:pPr>
        <w:numPr>
          <w:ilvl w:val="0"/>
          <w:numId w:val="0"/>
        </w:numPr>
        <w:spacing w:line="360" w:lineRule="auto"/>
        <w:ind w:firstLine="420" w:firstLineChars="200"/>
        <w:rPr>
          <w:rFonts w:hint="eastAsia" w:ascii="宋体" w:hAnsi="宋体" w:eastAsia="宋体" w:cs="Times New Roman"/>
          <w:b w:val="0"/>
          <w:bCs/>
          <w:color w:val="auto"/>
          <w:szCs w:val="21"/>
          <w:highlight w:val="none"/>
        </w:rPr>
      </w:pPr>
      <w:r>
        <w:rPr>
          <w:rFonts w:hint="eastAsia" w:asciiTheme="minorEastAsia" w:hAnsiTheme="minorEastAsia" w:eastAsiaTheme="minorEastAsia"/>
          <w:b w:val="0"/>
          <w:bCs w:val="0"/>
          <w:szCs w:val="21"/>
        </w:rPr>
        <w:t>4、</w:t>
      </w:r>
      <w:r>
        <w:rPr>
          <w:rFonts w:hint="eastAsia" w:ascii="Times New Roman" w:hAnsi="Times New Roman" w:eastAsia="宋体" w:cs="Times New Roman"/>
          <w:color w:val="auto"/>
          <w:lang w:val="en-US" w:eastAsia="zh-CN"/>
        </w:rPr>
        <w:t>同意杭交所经出租方申请之日起3个工作日内将承租方已交纳的履约保证金和首期租金全部划转至出租方指定账户。</w:t>
      </w:r>
    </w:p>
    <w:p>
      <w:pPr>
        <w:numPr>
          <w:ilvl w:val="0"/>
          <w:numId w:val="0"/>
        </w:numPr>
        <w:spacing w:line="360" w:lineRule="auto"/>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5、我方知悉并承诺：</w:t>
      </w:r>
    </w:p>
    <w:p>
      <w:pPr>
        <w:numPr>
          <w:ilvl w:val="0"/>
          <w:numId w:val="0"/>
        </w:numPr>
        <w:spacing w:line="360" w:lineRule="auto"/>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w:t>
      </w:r>
      <w:r>
        <w:rPr>
          <w:rFonts w:hint="eastAsia" w:ascii="宋体" w:hAnsi="宋体" w:eastAsia="宋体" w:cs="Times New Roman"/>
          <w:b w:val="0"/>
          <w:bCs/>
          <w:color w:val="auto"/>
          <w:szCs w:val="21"/>
          <w:highlight w:val="none"/>
          <w:lang w:val="en-US" w:eastAsia="zh-CN"/>
        </w:rPr>
        <w:t>1</w:t>
      </w:r>
      <w:r>
        <w:rPr>
          <w:rFonts w:hint="eastAsia" w:ascii="宋体" w:hAnsi="宋体" w:eastAsia="宋体" w:cs="Times New Roman"/>
          <w:b w:val="0"/>
          <w:bCs/>
          <w:color w:val="auto"/>
          <w:szCs w:val="21"/>
          <w:highlight w:val="none"/>
        </w:rPr>
        <w:t>）承租方已知悉并承诺：</w:t>
      </w:r>
      <w:r>
        <w:rPr>
          <w:rFonts w:hint="eastAsia" w:ascii="Times New Roman" w:hAnsi="Times New Roman" w:eastAsia="宋体" w:cs="Times New Roman"/>
          <w:color w:val="auto"/>
          <w:lang w:val="en-US" w:eastAsia="zh-CN"/>
        </w:rPr>
        <w:t>房屋所有权证附记记载：码头管理用房。租赁房屋所属地块土地使用权证证载地类（用途）为港口、码头，使用权类型为划拨。承租方明确知悉并接受房屋的规划用途、土地性质、产权情况等限制条件。承租方应当在开业前取得营业执照及相关的各类经营许可证，由于承租方无证无照经营行为造</w:t>
      </w:r>
      <w:r>
        <w:rPr>
          <w:rFonts w:hint="eastAsia"/>
          <w:color w:val="auto"/>
          <w:lang w:val="en-US" w:eastAsia="zh-CN"/>
        </w:rPr>
        <w:t>成出租方或第三方损失的，承租方应全额赔偿。出租方可根据实际情况提供必要的协助，但所需费用均由承租方承担。若由于出租方提供的资料和租赁房屋现状原因导致承租方不能通过相关登记、审批等手续的，出租方不承担任何责任。</w:t>
      </w:r>
    </w:p>
    <w:p>
      <w:pPr>
        <w:numPr>
          <w:ilvl w:val="0"/>
          <w:numId w:val="0"/>
        </w:numPr>
        <w:spacing w:line="360" w:lineRule="auto"/>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w:t>
      </w: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rPr>
        <w:t>）承租方已知悉并承诺：</w:t>
      </w:r>
      <w:r>
        <w:rPr>
          <w:rFonts w:hint="eastAsia"/>
          <w:color w:val="auto"/>
          <w:lang w:val="en-US" w:eastAsia="zh-CN"/>
        </w:rPr>
        <w:t>如因租赁房屋的用途与租赁用途不一致而需要办理相关审批手续的，由承租方自行负责办理，出租方予以协助，但出租方不作任何保证。承租方应充分了解上述情况，由此无法办理相关登记及其他行政审批等相关手续，承租方如有损失自行承担，出租方、杭交所不承担任何责任。本次涉及任何经营证照的办理费用由承租方自行承担。</w:t>
      </w:r>
    </w:p>
    <w:p>
      <w:pPr>
        <w:numPr>
          <w:ilvl w:val="0"/>
          <w:numId w:val="0"/>
        </w:numPr>
        <w:spacing w:line="360" w:lineRule="auto"/>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w:t>
      </w:r>
      <w:r>
        <w:rPr>
          <w:rFonts w:hint="eastAsia" w:ascii="宋体" w:hAnsi="宋体" w:eastAsia="宋体" w:cs="Times New Roman"/>
          <w:b w:val="0"/>
          <w:bCs/>
          <w:color w:val="auto"/>
          <w:szCs w:val="21"/>
          <w:highlight w:val="none"/>
          <w:lang w:val="en-US" w:eastAsia="zh-CN"/>
        </w:rPr>
        <w:t>3</w:t>
      </w:r>
      <w:r>
        <w:rPr>
          <w:rFonts w:hint="eastAsia" w:ascii="宋体" w:hAnsi="宋体" w:eastAsia="宋体" w:cs="Times New Roman"/>
          <w:b w:val="0"/>
          <w:bCs/>
          <w:color w:val="auto"/>
          <w:szCs w:val="21"/>
          <w:highlight w:val="none"/>
        </w:rPr>
        <w:t>）承租方已知悉并承诺：</w:t>
      </w:r>
      <w:r>
        <w:rPr>
          <w:rFonts w:hint="eastAsia"/>
          <w:color w:val="auto"/>
        </w:rPr>
        <w:t>承租方已自行了解房屋的结构、装修、位置、环境、设施、物业及水电可供容量等现状，承诺承租后不得有噪音扰民等情形，后续租赁期限内若与相邻租户发生纠纷，需自行处理、解决，</w:t>
      </w:r>
      <w:r>
        <w:rPr>
          <w:rFonts w:hint="eastAsia"/>
          <w:color w:val="auto"/>
          <w:lang w:eastAsia="zh-CN"/>
        </w:rPr>
        <w:t>出租方</w:t>
      </w:r>
      <w:r>
        <w:rPr>
          <w:rFonts w:hint="eastAsia"/>
          <w:color w:val="auto"/>
        </w:rPr>
        <w:t>不承担任何责任。</w:t>
      </w:r>
    </w:p>
    <w:p>
      <w:pPr>
        <w:numPr>
          <w:ilvl w:val="0"/>
          <w:numId w:val="0"/>
        </w:numPr>
        <w:spacing w:line="360" w:lineRule="auto"/>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w:t>
      </w:r>
      <w:r>
        <w:rPr>
          <w:rFonts w:hint="eastAsia" w:ascii="宋体" w:hAnsi="宋体" w:eastAsia="宋体" w:cs="Times New Roman"/>
          <w:b w:val="0"/>
          <w:bCs/>
          <w:color w:val="auto"/>
          <w:szCs w:val="21"/>
          <w:highlight w:val="none"/>
          <w:lang w:val="en-US" w:eastAsia="zh-CN"/>
        </w:rPr>
        <w:t>4</w:t>
      </w:r>
      <w:r>
        <w:rPr>
          <w:rFonts w:hint="eastAsia" w:ascii="宋体" w:hAnsi="宋体" w:eastAsia="宋体" w:cs="Times New Roman"/>
          <w:b w:val="0"/>
          <w:bCs/>
          <w:color w:val="auto"/>
          <w:szCs w:val="21"/>
          <w:highlight w:val="none"/>
        </w:rPr>
        <w:t>）承租方已知悉并承诺：</w:t>
      </w:r>
      <w:r>
        <w:rPr>
          <w:rFonts w:hint="eastAsia" w:ascii="Times New Roman" w:hAnsi="Times New Roman" w:eastAsia="宋体" w:cs="Times New Roman"/>
          <w:color w:val="auto"/>
        </w:rPr>
        <w:t>承租方未事先征得</w:t>
      </w:r>
      <w:r>
        <w:rPr>
          <w:rFonts w:hint="eastAsia" w:ascii="Times New Roman" w:hAnsi="Times New Roman" w:eastAsia="宋体" w:cs="Times New Roman"/>
          <w:color w:val="auto"/>
          <w:lang w:eastAsia="zh-CN"/>
        </w:rPr>
        <w:t>出租方</w:t>
      </w:r>
      <w:r>
        <w:rPr>
          <w:rFonts w:hint="eastAsia" w:ascii="Times New Roman" w:hAnsi="Times New Roman" w:eastAsia="宋体" w:cs="Times New Roman"/>
          <w:color w:val="auto"/>
        </w:rPr>
        <w:t>书面同意，并未按规定向有关部门办理审批手续的，不得擅自改变房屋的结构和使用性质，不能随意对租赁房屋进行装修或增设他物，不能破坏墙体结构、拆墙、移墙、开门等。若</w:t>
      </w:r>
      <w:r>
        <w:rPr>
          <w:rFonts w:hint="eastAsia" w:ascii="Times New Roman" w:hAnsi="Times New Roman" w:eastAsia="宋体" w:cs="Times New Roman"/>
          <w:color w:val="auto"/>
          <w:lang w:eastAsia="zh-CN"/>
        </w:rPr>
        <w:t>出租方</w:t>
      </w:r>
      <w:r>
        <w:rPr>
          <w:rFonts w:hint="eastAsia" w:ascii="Times New Roman" w:hAnsi="Times New Roman" w:eastAsia="宋体" w:cs="Times New Roman"/>
          <w:color w:val="auto"/>
        </w:rPr>
        <w:t>书面同意，并经规划和消防等有关部门许可后，承租方在不影响房屋结构的前提下，可以严格按照相关规定对承租房屋进行装饰。</w:t>
      </w:r>
    </w:p>
    <w:p>
      <w:pPr>
        <w:numPr>
          <w:ilvl w:val="0"/>
          <w:numId w:val="0"/>
        </w:numPr>
        <w:spacing w:line="360" w:lineRule="auto"/>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w:t>
      </w:r>
      <w:r>
        <w:rPr>
          <w:rFonts w:hint="eastAsia" w:ascii="宋体" w:hAnsi="宋体" w:eastAsia="宋体" w:cs="Times New Roman"/>
          <w:b w:val="0"/>
          <w:bCs/>
          <w:color w:val="auto"/>
          <w:szCs w:val="21"/>
          <w:highlight w:val="none"/>
          <w:lang w:val="en-US" w:eastAsia="zh-CN"/>
        </w:rPr>
        <w:t>5</w:t>
      </w:r>
      <w:r>
        <w:rPr>
          <w:rFonts w:hint="eastAsia" w:ascii="宋体" w:hAnsi="宋体" w:eastAsia="宋体" w:cs="Times New Roman"/>
          <w:b w:val="0"/>
          <w:bCs/>
          <w:color w:val="auto"/>
          <w:szCs w:val="21"/>
          <w:highlight w:val="none"/>
        </w:rPr>
        <w:t>）承租方已知悉并承诺：在租赁期内，租赁房屋未经出租方书面同意不得转租。如承租方擅自转租的，转租行为无效。出租方有权单方面解除《房屋租赁协议书》收回房屋。如由此引起的经济损失由承租方自行承担，出租方不负任何责任。</w:t>
      </w:r>
    </w:p>
    <w:p>
      <w:pPr>
        <w:numPr>
          <w:ilvl w:val="0"/>
          <w:numId w:val="0"/>
        </w:numPr>
        <w:spacing w:line="360" w:lineRule="auto"/>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w:t>
      </w:r>
      <w:r>
        <w:rPr>
          <w:rFonts w:hint="eastAsia" w:ascii="宋体" w:hAnsi="宋体" w:eastAsia="宋体" w:cs="Times New Roman"/>
          <w:b w:val="0"/>
          <w:bCs/>
          <w:color w:val="auto"/>
          <w:szCs w:val="21"/>
          <w:highlight w:val="none"/>
          <w:lang w:val="en-US" w:eastAsia="zh-CN"/>
        </w:rPr>
        <w:t>6</w:t>
      </w:r>
      <w:r>
        <w:rPr>
          <w:rFonts w:hint="eastAsia" w:ascii="宋体" w:hAnsi="宋体" w:eastAsia="宋体" w:cs="Times New Roman"/>
          <w:b w:val="0"/>
          <w:bCs/>
          <w:color w:val="auto"/>
          <w:szCs w:val="21"/>
          <w:highlight w:val="none"/>
        </w:rPr>
        <w:t>）承租方已知悉并承诺：承租方装修中涉及动火、高空、有限空间等作业的必须先到相关单位办理许可证方可作业（动火、高空、有限空间作业按要求提供申请及作业方案），无相关许可不得私自作业。</w:t>
      </w:r>
    </w:p>
    <w:p>
      <w:pPr>
        <w:numPr>
          <w:ilvl w:val="0"/>
          <w:numId w:val="0"/>
        </w:numPr>
        <w:spacing w:line="360" w:lineRule="auto"/>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lang w:val="en-US" w:eastAsia="zh-CN"/>
        </w:rPr>
        <w:t>（7）</w:t>
      </w:r>
      <w:r>
        <w:rPr>
          <w:rFonts w:hint="eastAsia" w:ascii="宋体" w:hAnsi="宋体" w:eastAsia="宋体" w:cs="Times New Roman"/>
          <w:b w:val="0"/>
          <w:bCs/>
          <w:color w:val="auto"/>
          <w:szCs w:val="21"/>
          <w:highlight w:val="none"/>
        </w:rPr>
        <w:t>承租方已知悉并承诺：为用电安全，建议承租方在承租物业内安装灭弧式智慧用电报警装置，费用自行承担。</w:t>
      </w:r>
    </w:p>
    <w:p>
      <w:pPr>
        <w:numPr>
          <w:ilvl w:val="0"/>
          <w:numId w:val="0"/>
        </w:numPr>
        <w:spacing w:line="360" w:lineRule="auto"/>
        <w:ind w:firstLine="420" w:firstLineChars="200"/>
        <w:rPr>
          <w:rFonts w:hint="eastAsia" w:ascii="宋体" w:hAnsi="宋体" w:eastAsia="宋体" w:cs="Times New Roman"/>
          <w:b w:val="0"/>
          <w:bCs/>
          <w:color w:val="auto"/>
          <w:szCs w:val="21"/>
          <w:highlight w:val="none"/>
          <w:lang w:val="en-US" w:eastAsia="zh-CN"/>
        </w:rPr>
      </w:pPr>
      <w:r>
        <w:rPr>
          <w:rFonts w:hint="eastAsia" w:ascii="宋体" w:hAnsi="宋体" w:eastAsia="宋体" w:cs="Times New Roman"/>
          <w:b w:val="0"/>
          <w:bCs/>
          <w:color w:val="auto"/>
          <w:szCs w:val="21"/>
          <w:highlight w:val="none"/>
          <w:lang w:val="en-US" w:eastAsia="zh-CN"/>
        </w:rPr>
        <w:t>（8）承租方已知悉并承诺：承租方在租赁期间，必须遵守消防法、安全生产法等相关法律法规，并开展消防及安全生产知识教育，按标准配备齐全消防设备，熟悉了解消防设备的性能，掌握使用方法，定期检查、保养、维护消防器材。出租方将不定期对物业进行安全（消防）、疫情防控检查工作，承租方应给予积极配合。</w:t>
      </w:r>
    </w:p>
    <w:p>
      <w:pPr>
        <w:numPr>
          <w:ilvl w:val="0"/>
          <w:numId w:val="0"/>
        </w:numPr>
        <w:spacing w:line="360" w:lineRule="auto"/>
        <w:ind w:firstLine="420" w:firstLineChars="200"/>
        <w:rPr>
          <w:rFonts w:hint="eastAsia" w:ascii="宋体" w:hAnsi="宋体" w:eastAsia="宋体" w:cs="Times New Roman"/>
          <w:b w:val="0"/>
          <w:bCs/>
          <w:color w:val="auto"/>
          <w:szCs w:val="21"/>
          <w:highlight w:val="none"/>
          <w:lang w:val="en-US" w:eastAsia="zh-CN"/>
        </w:rPr>
      </w:pPr>
      <w:r>
        <w:rPr>
          <w:rFonts w:hint="eastAsia" w:ascii="宋体" w:hAnsi="宋体" w:eastAsia="宋体" w:cs="Times New Roman"/>
          <w:b w:val="0"/>
          <w:bCs/>
          <w:color w:val="auto"/>
          <w:szCs w:val="21"/>
          <w:highlight w:val="none"/>
          <w:lang w:val="en-US" w:eastAsia="zh-CN"/>
        </w:rPr>
        <w:t>（9）承租方已知悉并承诺：承租方在租赁期间需交纳相应的物业管理费，具体以实际物业公司收取为准。</w:t>
      </w:r>
    </w:p>
    <w:p>
      <w:pPr>
        <w:numPr>
          <w:ilvl w:val="0"/>
          <w:numId w:val="0"/>
        </w:numPr>
        <w:spacing w:line="360" w:lineRule="auto"/>
        <w:ind w:firstLine="420" w:firstLineChars="200"/>
        <w:rPr>
          <w:rFonts w:hint="eastAsia" w:ascii="宋体" w:hAnsi="宋体" w:eastAsia="宋体" w:cs="Times New Roman"/>
          <w:b w:val="0"/>
          <w:bCs/>
          <w:color w:val="auto"/>
          <w:szCs w:val="21"/>
          <w:highlight w:val="none"/>
          <w:lang w:val="en-US" w:eastAsia="zh-CN"/>
        </w:rPr>
      </w:pPr>
      <w:r>
        <w:rPr>
          <w:rFonts w:hint="eastAsia" w:ascii="宋体" w:hAnsi="宋体" w:eastAsia="宋体" w:cs="Times New Roman"/>
          <w:b w:val="0"/>
          <w:bCs/>
          <w:color w:val="auto"/>
          <w:szCs w:val="21"/>
          <w:highlight w:val="none"/>
          <w:lang w:val="en-US" w:eastAsia="zh-CN"/>
        </w:rPr>
        <w:t>（10）意向承租方须承诺以下事项：①未被责令停业或破产状态；②财产未被重组、接管、查封、扣押或冻结；③最近三年在经营活动中未出现违法、违纪、违规以及不良信誉记录；④在生产经营活动中未出现重大安全责任事故；⑤近三年内承租方未与出租方及其关联企业（包括杭州市商贸旅游集团有限公司及杭州市商贸旅游集团有限公司的对外投资企业，含全部直接及间接参股企业）发生过合同争议纠纷、仲裁或诉讼。</w:t>
      </w:r>
    </w:p>
    <w:p>
      <w:pPr>
        <w:numPr>
          <w:ilvl w:val="0"/>
          <w:numId w:val="0"/>
        </w:numPr>
        <w:spacing w:line="360" w:lineRule="auto"/>
        <w:ind w:firstLine="420" w:firstLineChars="200"/>
        <w:rPr>
          <w:rFonts w:hint="default" w:ascii="宋体" w:hAnsi="宋体" w:eastAsia="宋体" w:cs="Times New Roman"/>
          <w:b w:val="0"/>
          <w:bCs/>
          <w:color w:val="auto"/>
          <w:szCs w:val="21"/>
          <w:highlight w:val="none"/>
          <w:lang w:val="en-US" w:eastAsia="zh-CN"/>
        </w:rPr>
      </w:pPr>
      <w:r>
        <w:rPr>
          <w:rFonts w:hint="eastAsia" w:ascii="宋体" w:hAnsi="宋体" w:eastAsia="宋体" w:cs="Times New Roman"/>
          <w:b w:val="0"/>
          <w:bCs/>
          <w:color w:val="auto"/>
          <w:szCs w:val="21"/>
          <w:highlight w:val="none"/>
          <w:lang w:val="en-US" w:eastAsia="zh-CN"/>
        </w:rPr>
        <w:t>（11）承租方已知悉并承诺：出租方与承租方权利义务具体以出租方提供的《房屋租赁协议书》（样本）为准。</w:t>
      </w:r>
    </w:p>
    <w:p>
      <w:pPr>
        <w:numPr>
          <w:ilvl w:val="0"/>
          <w:numId w:val="0"/>
        </w:numPr>
        <w:spacing w:line="360" w:lineRule="auto"/>
        <w:ind w:firstLine="420" w:firstLineChars="200"/>
        <w:rPr>
          <w:rFonts w:hint="eastAsia" w:ascii="宋体" w:hAnsi="宋体" w:eastAsia="宋体" w:cs="Times New Roman"/>
          <w:b w:val="0"/>
          <w:bCs/>
          <w:color w:val="auto"/>
          <w:szCs w:val="21"/>
          <w:highlight w:val="none"/>
          <w:lang w:eastAsia="zh-CN"/>
        </w:rPr>
      </w:pPr>
      <w:r>
        <w:rPr>
          <w:rFonts w:hint="eastAsia" w:ascii="宋体" w:hAnsi="宋体" w:eastAsia="宋体" w:cs="Times New Roman"/>
          <w:b w:val="0"/>
          <w:bCs/>
          <w:color w:val="auto"/>
          <w:szCs w:val="21"/>
          <w:highlight w:val="none"/>
        </w:rPr>
        <w:t>6、我方同意交纳交易服务费，有两个及以上意向承租方报名且成交的，承租方须交纳首年一个月租金计的交易服务费；仅征集到一位意向承租方报名且成交的，承租方须交纳首年半个月租金计的交易服务费。</w:t>
      </w:r>
    </w:p>
    <w:p>
      <w:pPr>
        <w:numPr>
          <w:ilvl w:val="0"/>
          <w:numId w:val="0"/>
        </w:numPr>
        <w:spacing w:line="360" w:lineRule="auto"/>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lang w:val="en-US" w:eastAsia="zh-CN"/>
        </w:rPr>
        <w:t>7</w:t>
      </w:r>
      <w:r>
        <w:rPr>
          <w:rFonts w:hint="eastAsia" w:ascii="宋体" w:hAnsi="宋体" w:eastAsia="宋体" w:cs="Times New Roman"/>
          <w:b w:val="0"/>
          <w:bCs/>
          <w:color w:val="auto"/>
          <w:szCs w:val="21"/>
          <w:highlight w:val="none"/>
        </w:rPr>
        <w:t>、若非出租方原因，出现以下任一情况时，意向承租方交纳的保证金不予退还，先用于补偿杭交所</w:t>
      </w:r>
      <w:r>
        <w:rPr>
          <w:rFonts w:hint="eastAsia" w:ascii="宋体" w:hAnsi="宋体" w:eastAsia="宋体" w:cs="Times New Roman"/>
          <w:b w:val="0"/>
          <w:bCs/>
          <w:color w:val="auto"/>
          <w:szCs w:val="21"/>
          <w:highlight w:val="none"/>
          <w:lang w:eastAsia="zh-CN"/>
        </w:rPr>
        <w:t>、</w:t>
      </w:r>
      <w:r>
        <w:rPr>
          <w:rFonts w:hint="eastAsia" w:ascii="宋体" w:hAnsi="宋体" w:eastAsia="宋体" w:cs="Times New Roman"/>
          <w:b w:val="0"/>
          <w:bCs/>
          <w:color w:val="auto"/>
          <w:szCs w:val="21"/>
          <w:highlight w:val="none"/>
          <w:lang w:val="en-US" w:eastAsia="zh-CN"/>
        </w:rPr>
        <w:t>经纪会员</w:t>
      </w:r>
      <w:r>
        <w:rPr>
          <w:rFonts w:hint="eastAsia" w:ascii="宋体" w:hAnsi="宋体" w:eastAsia="宋体" w:cs="Times New Roman"/>
          <w:b w:val="0"/>
          <w:bCs/>
          <w:color w:val="auto"/>
          <w:szCs w:val="21"/>
          <w:highlight w:val="none"/>
        </w:rPr>
        <w:t>的各项服务费，剩余部分作为对出租方的经济补偿金，保证金不足以补偿的，相关方有权按照实际损失继续追诉：</w:t>
      </w:r>
    </w:p>
    <w:p>
      <w:pPr>
        <w:numPr>
          <w:ilvl w:val="0"/>
          <w:numId w:val="0"/>
        </w:numPr>
        <w:spacing w:line="360" w:lineRule="auto"/>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（1）意向承租方提交承租申请材料并交纳交易保证金后单方撤回承租申请的；</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rPr>
        <w:t>《房屋租赁协议书》</w:t>
      </w:r>
      <w:r>
        <w:rPr>
          <w:rFonts w:hint="eastAsia" w:asciiTheme="minorEastAsia" w:hAnsiTheme="minorEastAsia" w:eastAsiaTheme="minorEastAsia"/>
          <w:szCs w:val="21"/>
        </w:rPr>
        <w:t>的或未按约定支付</w:t>
      </w:r>
      <w:r>
        <w:rPr>
          <w:rFonts w:hint="eastAsia" w:ascii="宋体" w:hAnsi="宋体"/>
          <w:color w:val="auto"/>
          <w:sz w:val="21"/>
          <w:szCs w:val="21"/>
          <w:highlight w:val="none"/>
        </w:rPr>
        <w:t>首期租金</w:t>
      </w:r>
      <w:r>
        <w:rPr>
          <w:rFonts w:hint="eastAsia" w:ascii="宋体" w:hAnsi="宋体"/>
          <w:color w:val="auto"/>
          <w:sz w:val="21"/>
          <w:szCs w:val="21"/>
          <w:highlight w:val="none"/>
          <w:lang w:eastAsia="zh-CN"/>
        </w:rPr>
        <w:t>、</w:t>
      </w:r>
      <w:r>
        <w:rPr>
          <w:rFonts w:hint="eastAsia" w:asciiTheme="minorEastAsia" w:hAnsiTheme="minorEastAsia" w:eastAsiaTheme="minorEastAsia"/>
          <w:szCs w:val="21"/>
        </w:rPr>
        <w:t>履约保证金和交易服务费的；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承租</w:t>
      </w:r>
      <w:r>
        <w:rPr>
          <w:rFonts w:asciiTheme="minorEastAsia" w:hAnsiTheme="minorEastAsia" w:eastAsiaTheme="minorEastAsia"/>
          <w:szCs w:val="21"/>
        </w:rPr>
        <w:t>方未履行书面承诺事项的；</w:t>
      </w:r>
      <w:bookmarkStart w:id="0" w:name="_GoBack"/>
      <w:bookmarkEnd w:id="0"/>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rPr>
        <w:t>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143D8A"/>
    <w:rsid w:val="0020310B"/>
    <w:rsid w:val="002278BB"/>
    <w:rsid w:val="002526A0"/>
    <w:rsid w:val="00255411"/>
    <w:rsid w:val="00274544"/>
    <w:rsid w:val="003229C2"/>
    <w:rsid w:val="003A2F6F"/>
    <w:rsid w:val="003E079C"/>
    <w:rsid w:val="00413930"/>
    <w:rsid w:val="00430675"/>
    <w:rsid w:val="004C246D"/>
    <w:rsid w:val="004D1B74"/>
    <w:rsid w:val="004E1479"/>
    <w:rsid w:val="004E3107"/>
    <w:rsid w:val="004F3BEF"/>
    <w:rsid w:val="00503879"/>
    <w:rsid w:val="0055051A"/>
    <w:rsid w:val="00627BE3"/>
    <w:rsid w:val="00662215"/>
    <w:rsid w:val="00737286"/>
    <w:rsid w:val="007847DD"/>
    <w:rsid w:val="00790D21"/>
    <w:rsid w:val="007E4EDD"/>
    <w:rsid w:val="0084282E"/>
    <w:rsid w:val="00884F8A"/>
    <w:rsid w:val="008D72E8"/>
    <w:rsid w:val="00906FAC"/>
    <w:rsid w:val="00934A3A"/>
    <w:rsid w:val="0096235F"/>
    <w:rsid w:val="009733B3"/>
    <w:rsid w:val="009F646A"/>
    <w:rsid w:val="00A11F15"/>
    <w:rsid w:val="00A17388"/>
    <w:rsid w:val="00A24DD0"/>
    <w:rsid w:val="00A53E81"/>
    <w:rsid w:val="00A96775"/>
    <w:rsid w:val="00AA4243"/>
    <w:rsid w:val="00AF7180"/>
    <w:rsid w:val="00B15A11"/>
    <w:rsid w:val="00B170BB"/>
    <w:rsid w:val="00B36433"/>
    <w:rsid w:val="00B91182"/>
    <w:rsid w:val="00B923AA"/>
    <w:rsid w:val="00C02F3D"/>
    <w:rsid w:val="00C07B7D"/>
    <w:rsid w:val="00C2125E"/>
    <w:rsid w:val="00C300A5"/>
    <w:rsid w:val="00C80243"/>
    <w:rsid w:val="00C85BC7"/>
    <w:rsid w:val="00CB5B8C"/>
    <w:rsid w:val="00D5688F"/>
    <w:rsid w:val="00D56D57"/>
    <w:rsid w:val="00E00E55"/>
    <w:rsid w:val="00E60BD5"/>
    <w:rsid w:val="00ED4E9F"/>
    <w:rsid w:val="00EF62AF"/>
    <w:rsid w:val="00F06BEC"/>
    <w:rsid w:val="00F47654"/>
    <w:rsid w:val="00FA0343"/>
    <w:rsid w:val="00FA6AB7"/>
    <w:rsid w:val="015952F6"/>
    <w:rsid w:val="01796719"/>
    <w:rsid w:val="0279645F"/>
    <w:rsid w:val="02EB7464"/>
    <w:rsid w:val="03A523CA"/>
    <w:rsid w:val="04273FE8"/>
    <w:rsid w:val="05474BCA"/>
    <w:rsid w:val="06403643"/>
    <w:rsid w:val="06565574"/>
    <w:rsid w:val="06A907A1"/>
    <w:rsid w:val="06FF3E8A"/>
    <w:rsid w:val="0739342F"/>
    <w:rsid w:val="09377722"/>
    <w:rsid w:val="0A514DBC"/>
    <w:rsid w:val="0BBE3E04"/>
    <w:rsid w:val="0C455BB9"/>
    <w:rsid w:val="0DF647A0"/>
    <w:rsid w:val="0F423341"/>
    <w:rsid w:val="10346095"/>
    <w:rsid w:val="10E20B40"/>
    <w:rsid w:val="11561F17"/>
    <w:rsid w:val="122D5A9B"/>
    <w:rsid w:val="15B80C26"/>
    <w:rsid w:val="166533E4"/>
    <w:rsid w:val="17DF339A"/>
    <w:rsid w:val="18AB29E5"/>
    <w:rsid w:val="1A4B5000"/>
    <w:rsid w:val="1AE30C41"/>
    <w:rsid w:val="1D772D50"/>
    <w:rsid w:val="1E2E20E9"/>
    <w:rsid w:val="1E570CAC"/>
    <w:rsid w:val="1E867034"/>
    <w:rsid w:val="1E9C785A"/>
    <w:rsid w:val="1EC62F0A"/>
    <w:rsid w:val="1FB76644"/>
    <w:rsid w:val="209558D7"/>
    <w:rsid w:val="2164102D"/>
    <w:rsid w:val="21D62F05"/>
    <w:rsid w:val="224C47AB"/>
    <w:rsid w:val="22596EC8"/>
    <w:rsid w:val="22EF036A"/>
    <w:rsid w:val="25677B0B"/>
    <w:rsid w:val="258432D6"/>
    <w:rsid w:val="25CF0E14"/>
    <w:rsid w:val="25D72BEF"/>
    <w:rsid w:val="25F1264D"/>
    <w:rsid w:val="261256F5"/>
    <w:rsid w:val="26176E7E"/>
    <w:rsid w:val="261B6EAF"/>
    <w:rsid w:val="273E55C5"/>
    <w:rsid w:val="280C6FF3"/>
    <w:rsid w:val="29831BA4"/>
    <w:rsid w:val="29A37426"/>
    <w:rsid w:val="29AC0889"/>
    <w:rsid w:val="2A7A57A9"/>
    <w:rsid w:val="2A7E3585"/>
    <w:rsid w:val="2AC97973"/>
    <w:rsid w:val="2C5B5AFF"/>
    <w:rsid w:val="2C993CF8"/>
    <w:rsid w:val="2D095E73"/>
    <w:rsid w:val="2D462264"/>
    <w:rsid w:val="2DDE0BE6"/>
    <w:rsid w:val="2EF16AF3"/>
    <w:rsid w:val="2FFC7C4A"/>
    <w:rsid w:val="31831344"/>
    <w:rsid w:val="31A85707"/>
    <w:rsid w:val="31C10B20"/>
    <w:rsid w:val="32824EDB"/>
    <w:rsid w:val="33715913"/>
    <w:rsid w:val="34705D86"/>
    <w:rsid w:val="34B343DA"/>
    <w:rsid w:val="37200BEA"/>
    <w:rsid w:val="37A200AC"/>
    <w:rsid w:val="380B12B2"/>
    <w:rsid w:val="383374BF"/>
    <w:rsid w:val="384E2216"/>
    <w:rsid w:val="38CB4108"/>
    <w:rsid w:val="38DD4350"/>
    <w:rsid w:val="38FD240B"/>
    <w:rsid w:val="39E9751C"/>
    <w:rsid w:val="3A4574B2"/>
    <w:rsid w:val="3AC218E1"/>
    <w:rsid w:val="3B2E3F4D"/>
    <w:rsid w:val="3B872449"/>
    <w:rsid w:val="3C2C0B99"/>
    <w:rsid w:val="3CB624B8"/>
    <w:rsid w:val="3D6B2F4F"/>
    <w:rsid w:val="3D8D11E6"/>
    <w:rsid w:val="3E366EA5"/>
    <w:rsid w:val="3E9079E7"/>
    <w:rsid w:val="3F6A50BE"/>
    <w:rsid w:val="3F7A371C"/>
    <w:rsid w:val="3FC6216C"/>
    <w:rsid w:val="3FFD00BF"/>
    <w:rsid w:val="40FE57EE"/>
    <w:rsid w:val="41266D89"/>
    <w:rsid w:val="414F26D9"/>
    <w:rsid w:val="4305016E"/>
    <w:rsid w:val="450A38F6"/>
    <w:rsid w:val="450C14F7"/>
    <w:rsid w:val="459A4A97"/>
    <w:rsid w:val="464723B1"/>
    <w:rsid w:val="479E5897"/>
    <w:rsid w:val="489A19EF"/>
    <w:rsid w:val="48D83DF3"/>
    <w:rsid w:val="49396F88"/>
    <w:rsid w:val="49927B74"/>
    <w:rsid w:val="4C4308FE"/>
    <w:rsid w:val="4D801570"/>
    <w:rsid w:val="4DD22F16"/>
    <w:rsid w:val="4F092F78"/>
    <w:rsid w:val="4F201E42"/>
    <w:rsid w:val="4FBC2F5F"/>
    <w:rsid w:val="50AD28DA"/>
    <w:rsid w:val="52212BBB"/>
    <w:rsid w:val="54130175"/>
    <w:rsid w:val="54AC0761"/>
    <w:rsid w:val="5502046E"/>
    <w:rsid w:val="552542D2"/>
    <w:rsid w:val="57576ED8"/>
    <w:rsid w:val="576B3208"/>
    <w:rsid w:val="57E43E5E"/>
    <w:rsid w:val="580A29D8"/>
    <w:rsid w:val="58E27BEC"/>
    <w:rsid w:val="59BB5339"/>
    <w:rsid w:val="59C553D4"/>
    <w:rsid w:val="59D25817"/>
    <w:rsid w:val="5A6558F8"/>
    <w:rsid w:val="5A721786"/>
    <w:rsid w:val="5A790A75"/>
    <w:rsid w:val="5C6F1AF2"/>
    <w:rsid w:val="5D0B1ACB"/>
    <w:rsid w:val="5F263445"/>
    <w:rsid w:val="60D41C1D"/>
    <w:rsid w:val="61AF798C"/>
    <w:rsid w:val="62D637DB"/>
    <w:rsid w:val="63DB45BE"/>
    <w:rsid w:val="63F50A4F"/>
    <w:rsid w:val="65BC6383"/>
    <w:rsid w:val="669B59E7"/>
    <w:rsid w:val="67A91325"/>
    <w:rsid w:val="685936B8"/>
    <w:rsid w:val="69057392"/>
    <w:rsid w:val="6B3B2C71"/>
    <w:rsid w:val="6B5B46E4"/>
    <w:rsid w:val="6BEE766C"/>
    <w:rsid w:val="6C7E0522"/>
    <w:rsid w:val="6D490EB5"/>
    <w:rsid w:val="6DC2291F"/>
    <w:rsid w:val="6DE029CA"/>
    <w:rsid w:val="70681F34"/>
    <w:rsid w:val="71204A9C"/>
    <w:rsid w:val="72C64894"/>
    <w:rsid w:val="744676DC"/>
    <w:rsid w:val="744E1347"/>
    <w:rsid w:val="752E7623"/>
    <w:rsid w:val="76E45562"/>
    <w:rsid w:val="77D53699"/>
    <w:rsid w:val="79645897"/>
    <w:rsid w:val="79944E61"/>
    <w:rsid w:val="7A54014C"/>
    <w:rsid w:val="7ADA7D76"/>
    <w:rsid w:val="7AE52BBB"/>
    <w:rsid w:val="7AFB73C0"/>
    <w:rsid w:val="7BA972A9"/>
    <w:rsid w:val="7D1767FA"/>
    <w:rsid w:val="7E4A5FAE"/>
    <w:rsid w:val="7E5E1B1E"/>
    <w:rsid w:val="7F571B19"/>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before="120" w:after="120" w:line="360" w:lineRule="auto"/>
      <w:ind w:firstLine="800" w:firstLineChars="200"/>
    </w:pPr>
    <w:rPr>
      <w:rFonts w:ascii="宋体" w:hAnsi="宋体"/>
      <w:lang w:val="zh-CN"/>
    </w:rPr>
  </w:style>
  <w:style w:type="paragraph" w:styleId="3">
    <w:name w:val="toc 4"/>
    <w:next w:val="1"/>
    <w:qFormat/>
    <w:uiPriority w:val="0"/>
    <w:pPr>
      <w:wordWrap w:val="0"/>
      <w:ind w:left="850"/>
      <w:jc w:val="both"/>
    </w:pPr>
    <w:rPr>
      <w:rFonts w:ascii="Calibri" w:hAnsi="Calibri" w:eastAsia="宋体" w:cs="Times New Roman"/>
      <w:sz w:val="21"/>
      <w:lang w:val="en-US" w:eastAsia="zh-CN" w:bidi="ar-SA"/>
    </w:rPr>
  </w:style>
  <w:style w:type="paragraph" w:styleId="4">
    <w:name w:val="Normal Indent"/>
    <w:basedOn w:val="1"/>
    <w:qFormat/>
    <w:uiPriority w:val="0"/>
    <w:pPr>
      <w:adjustRightInd w:val="0"/>
      <w:spacing w:line="360" w:lineRule="atLeast"/>
      <w:ind w:firstLine="482"/>
      <w:textAlignment w:val="baseline"/>
    </w:pPr>
    <w:rPr>
      <w:kern w:val="0"/>
      <w:sz w:val="24"/>
      <w:szCs w:val="20"/>
    </w:rPr>
  </w:style>
  <w:style w:type="paragraph" w:styleId="5">
    <w:name w:val="Body Text Indent"/>
    <w:basedOn w:val="1"/>
    <w:qFormat/>
    <w:uiPriority w:val="0"/>
    <w:pPr>
      <w:spacing w:after="120"/>
      <w:ind w:left="420" w:leftChars="200"/>
    </w:pPr>
  </w:style>
  <w:style w:type="paragraph" w:styleId="6">
    <w:name w:val="footer"/>
    <w:basedOn w:val="1"/>
    <w:link w:val="15"/>
    <w:semiHidden/>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9">
    <w:name w:val="Body Text First Indent"/>
    <w:basedOn w:val="2"/>
    <w:next w:val="1"/>
    <w:qFormat/>
    <w:uiPriority w:val="99"/>
    <w:pPr>
      <w:ind w:firstLine="420" w:firstLineChars="100"/>
    </w:pPr>
  </w:style>
  <w:style w:type="paragraph" w:styleId="10">
    <w:name w:val="Body Text First Indent 2"/>
    <w:basedOn w:val="5"/>
    <w:unhideWhenUsed/>
    <w:qFormat/>
    <w:uiPriority w:val="99"/>
    <w:pPr>
      <w:tabs>
        <w:tab w:val="left" w:pos="6600"/>
      </w:tabs>
      <w:spacing w:line="360" w:lineRule="auto"/>
      <w:ind w:firstLine="420" w:firstLineChars="200"/>
    </w:pPr>
    <w:rPr>
      <w:rFonts w:hint="default" w:cs="Times New Roman"/>
      <w:sz w:val="24"/>
      <w:szCs w:val="22"/>
    </w:rPr>
  </w:style>
  <w:style w:type="paragraph" w:customStyle="1" w:styleId="13">
    <w:name w:val="NormalIndent"/>
    <w:basedOn w:val="1"/>
    <w:qFormat/>
    <w:uiPriority w:val="0"/>
    <w:pPr>
      <w:ind w:firstLine="420"/>
    </w:pPr>
    <w:rPr>
      <w:rFonts w:ascii="Calibri" w:hAnsi="Calibri"/>
      <w:szCs w:val="22"/>
    </w:rPr>
  </w:style>
  <w:style w:type="character" w:customStyle="1" w:styleId="14">
    <w:name w:val="页眉 Char"/>
    <w:basedOn w:val="12"/>
    <w:link w:val="7"/>
    <w:semiHidden/>
    <w:qFormat/>
    <w:uiPriority w:val="99"/>
    <w:rPr>
      <w:rFonts w:ascii="Times New Roman" w:hAnsi="Times New Roman" w:eastAsia="宋体" w:cs="Times New Roman"/>
      <w:sz w:val="18"/>
      <w:szCs w:val="18"/>
    </w:rPr>
  </w:style>
  <w:style w:type="character" w:customStyle="1" w:styleId="15">
    <w:name w:val="页脚 Char"/>
    <w:basedOn w:val="12"/>
    <w:link w:val="6"/>
    <w:semiHidden/>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paragraph" w:customStyle="1" w:styleId="17">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0</TotalTime>
  <ScaleCrop>false</ScaleCrop>
  <LinksUpToDate>false</LinksUpToDate>
  <CharactersWithSpaces>1070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2025-09-25T11:46:30Z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89F2E91492584960A2BD8545D904B2E2</vt:lpwstr>
  </property>
</Properties>
</file>