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汽车生产线涂装车间、总装车间等设备资产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1500万元履约保证金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258AD666">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5、知悉并承诺：交易标的的《标的清单》和标的物图片仅供参考，具体数量、规格型号、品种及品质及性能、真伪与实物不符的以现场展示实物</w:t>
      </w:r>
      <w:bookmarkStart w:id="0" w:name="_GoBack"/>
      <w:bookmarkEnd w:id="0"/>
      <w:r>
        <w:rPr>
          <w:rFonts w:hint="eastAsia" w:asciiTheme="minorEastAsia" w:hAnsiTheme="minorEastAsia"/>
          <w:sz w:val="21"/>
          <w:szCs w:val="21"/>
          <w:highlight w:val="none"/>
          <w:lang w:val="en-US" w:eastAsia="zh-CN"/>
        </w:rPr>
        <w:t>为准。交易标的按现状处置（部分设备已处于报废状态），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2EBD5B2C">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3686F51B">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7、知悉并承诺：交易标的存在部分设备已报废的情况，转让方不保证基于本次交易标的和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交易标的的及相关废品用于何种目的（包括但不限于出售），转让方均不承担任何责任，受让方自行承担交易标的及相关废品利用过程中的一切责任。</w:t>
      </w:r>
    </w:p>
    <w:p w14:paraId="53735898">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0243EB6D">
      <w:pPr>
        <w:spacing w:line="240" w:lineRule="exact"/>
        <w:ind w:firstLine="420" w:firstLineChars="200"/>
        <w:rPr>
          <w:rFonts w:hint="eastAsia" w:ascii="宋体" w:hAnsi="宋体"/>
          <w:sz w:val="18"/>
          <w:szCs w:val="18"/>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Theme="minorEastAsia" w:hAnsiTheme="minorEastAsia" w:eastAsiaTheme="minorEastAsia"/>
          <w:sz w:val="21"/>
          <w:szCs w:val="21"/>
          <w:highlight w:val="none"/>
          <w:lang w:val="en-US" w:eastAsia="zh-CN"/>
        </w:rPr>
        <w:t>交易服务</w:t>
      </w:r>
      <w:r>
        <w:rPr>
          <w:rFonts w:hint="eastAsia" w:cs="Times New Roman" w:asciiTheme="minorEastAsia" w:hAnsiTheme="minorEastAsia" w:eastAsiaTheme="minorEastAsia"/>
          <w:sz w:val="21"/>
          <w:szCs w:val="21"/>
          <w:highlight w:val="none"/>
          <w:lang w:val="en-US" w:eastAsia="zh-CN"/>
        </w:rPr>
        <w:t>费，交易服务费采用分档累计的方式计算：</w:t>
      </w:r>
    </w:p>
    <w:p w14:paraId="6E6C9A30">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资产交易总额</w:t>
      </w:r>
      <w:r>
        <w:rPr>
          <w:rFonts w:hint="eastAsia" w:ascii="宋体" w:hAnsi="宋体"/>
          <w:sz w:val="18"/>
          <w:szCs w:val="18"/>
          <w:highlight w:val="none"/>
        </w:rPr>
        <w:tab/>
      </w:r>
      <w:r>
        <w:rPr>
          <w:rFonts w:hint="eastAsia" w:ascii="宋体" w:hAnsi="宋体"/>
          <w:sz w:val="18"/>
          <w:szCs w:val="18"/>
          <w:highlight w:val="none"/>
        </w:rPr>
        <w:t xml:space="preserve">                       分档费率</w:t>
      </w:r>
    </w:p>
    <w:p w14:paraId="5E0B74C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500万元及以下（含，下同）</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4%</w:t>
      </w:r>
    </w:p>
    <w:p w14:paraId="38F4232F">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500万元-1000万元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3%</w:t>
      </w:r>
    </w:p>
    <w:p w14:paraId="62DE8C1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1000万元-2000万元          </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2.4%</w:t>
      </w:r>
    </w:p>
    <w:p w14:paraId="4F4E1904">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2000万元-5000万元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2%</w:t>
      </w:r>
    </w:p>
    <w:p w14:paraId="6927388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5000万元-10000万元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1%</w:t>
      </w:r>
    </w:p>
    <w:p w14:paraId="5FCC2D59">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10000万元-50000万元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0.6%</w:t>
      </w:r>
    </w:p>
    <w:p w14:paraId="141D9F44">
      <w:pPr>
        <w:spacing w:line="360" w:lineRule="auto"/>
        <w:ind w:firstLine="360" w:firstLineChars="200"/>
        <w:rPr>
          <w:rFonts w:asciiTheme="minorEastAsia" w:hAnsiTheme="minorEastAsia" w:eastAsiaTheme="minorEastAsia"/>
          <w:sz w:val="21"/>
          <w:szCs w:val="21"/>
          <w:highlight w:val="none"/>
        </w:rPr>
      </w:pPr>
      <w:r>
        <w:rPr>
          <w:rFonts w:hint="eastAsia" w:ascii="宋体" w:hAnsi="宋体"/>
          <w:sz w:val="18"/>
          <w:szCs w:val="18"/>
          <w:highlight w:val="none"/>
        </w:rPr>
        <w:t>50000万以上</w:t>
      </w:r>
      <w:r>
        <w:rPr>
          <w:rFonts w:hint="eastAsia" w:ascii="宋体" w:hAnsi="宋体"/>
          <w:sz w:val="18"/>
          <w:szCs w:val="18"/>
          <w:highlight w:val="none"/>
        </w:rPr>
        <w:tab/>
      </w:r>
      <w:r>
        <w:rPr>
          <w:rFonts w:hint="eastAsia" w:ascii="宋体" w:hAnsi="宋体"/>
          <w:sz w:val="18"/>
          <w:szCs w:val="18"/>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39372CC"/>
    <w:rsid w:val="09E76B80"/>
    <w:rsid w:val="0B244B23"/>
    <w:rsid w:val="0C822CF8"/>
    <w:rsid w:val="0DF1051E"/>
    <w:rsid w:val="0EA115E7"/>
    <w:rsid w:val="0F400683"/>
    <w:rsid w:val="10411EEC"/>
    <w:rsid w:val="11895FFE"/>
    <w:rsid w:val="15337A69"/>
    <w:rsid w:val="16816A9E"/>
    <w:rsid w:val="173E5800"/>
    <w:rsid w:val="1AE925D2"/>
    <w:rsid w:val="1BA11F39"/>
    <w:rsid w:val="2211247F"/>
    <w:rsid w:val="22F23DBF"/>
    <w:rsid w:val="23F34870"/>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9837D6C"/>
    <w:rsid w:val="3B103714"/>
    <w:rsid w:val="3B6738AB"/>
    <w:rsid w:val="3E2E7D67"/>
    <w:rsid w:val="40BB417E"/>
    <w:rsid w:val="424F6C94"/>
    <w:rsid w:val="434954AA"/>
    <w:rsid w:val="45962498"/>
    <w:rsid w:val="45D5187E"/>
    <w:rsid w:val="48FD706E"/>
    <w:rsid w:val="499E6D18"/>
    <w:rsid w:val="4B084EE4"/>
    <w:rsid w:val="50AC4FFB"/>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FA377A"/>
    <w:rsid w:val="68F716F5"/>
    <w:rsid w:val="6AF126F7"/>
    <w:rsid w:val="6B2777BD"/>
    <w:rsid w:val="6B5475CA"/>
    <w:rsid w:val="6B7C4F72"/>
    <w:rsid w:val="6BBC636F"/>
    <w:rsid w:val="6DBC5E01"/>
    <w:rsid w:val="707830E9"/>
    <w:rsid w:val="70B47A2A"/>
    <w:rsid w:val="714C77AC"/>
    <w:rsid w:val="71D57417"/>
    <w:rsid w:val="725239F0"/>
    <w:rsid w:val="730B6342"/>
    <w:rsid w:val="745D4756"/>
    <w:rsid w:val="75414AE8"/>
    <w:rsid w:val="76DA15F9"/>
    <w:rsid w:val="77E357C3"/>
    <w:rsid w:val="787439E9"/>
    <w:rsid w:val="795E558F"/>
    <w:rsid w:val="7B597F4D"/>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2025-09-19T06:13:22Z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