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我方拟承租杭州市上城区笕桥街道草庄景墅5 幢底商 1、2、3、4、5、6、7号房屋5年租赁权，现做如下承诺：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sz w:val="21"/>
          <w:szCs w:val="21"/>
        </w:rPr>
      </w:pPr>
      <w:r>
        <w:rPr>
          <w:rFonts w:hint="eastAsia" w:asciiTheme="minorEastAsia" w:hAnsiTheme="minorEastAsia" w:eastAsiaTheme="minorEastAsia"/>
          <w:szCs w:val="21"/>
          <w:lang w:val="en-US" w:eastAsia="zh-CN"/>
        </w:rPr>
        <w:t>3、</w:t>
      </w:r>
      <w:r>
        <w:rPr>
          <w:rFonts w:ascii="宋体" w:hAnsi="宋体"/>
          <w:sz w:val="21"/>
          <w:szCs w:val="21"/>
        </w:rPr>
        <w:t>意向</w:t>
      </w:r>
      <w:r>
        <w:rPr>
          <w:rFonts w:hint="eastAsia" w:ascii="宋体" w:hAnsi="宋体"/>
          <w:sz w:val="21"/>
          <w:szCs w:val="21"/>
        </w:rPr>
        <w:t>承租</w:t>
      </w:r>
      <w:r>
        <w:rPr>
          <w:rFonts w:ascii="宋体" w:hAnsi="宋体"/>
          <w:sz w:val="21"/>
          <w:szCs w:val="21"/>
        </w:rPr>
        <w:t>方须书面承诺：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同意在被确定为承租方之日起7个工作日内携带报名时上传的主体资格证明等相关文件原件至杭交所完成现场确认和签署《成交通知书》、交易记录及《房屋租赁合同》等相关合同文件。《房屋租赁合同》签署当日，承租方交纳的交易保证金冲抵交易服务费，多余部分（若有）转为履约保证金。</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同意剩余款项由承租方及出租方自行结算。承租方应自《成交通知书》、《房屋租赁合同》生效之日起5个工作日内将履约保证金、首期租金的剩余交易资金一次性支付至出租方指定账户（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（3）同意杭交所在经出租方申请之日起5个工作日内将承租方已交纳的部分履约保证金（若有）全部划转至出租方指定账户。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（4）同意承租方不得对房屋租赁权进行整体转让；分散转让时转让合同必须报承租方备案。</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承租方承诺同意接受招租标的可能存在现状，包括但不限于：租赁标的处于由租户使用状态（部分处于空置状态），目前租赁标的的全部（也可能是部分）为已装修过或需要二次装修或租户已拆除已有装修状态，该租赁标的内的装修、设施、设备等可能有损坏不能正常使用，以及出租标的内尚可能存有租户的注册地址未迁移状态。成交后，现有租户的合同重签或现有租户不重签合同的清退等工作均由出租方负责协助处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承租方承诺与其招租的租户所签的转租合同不得违反、超越租赁合同的规定，并应向出租方备案，未经备案的承租方与租户所签的任何合同、协议以及租户自行对外所签的转租、转借、转让合同，均不具有法律效力，由此产生的责任由承租方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（8）其他出租方与承租方的权利义务详见《房屋租赁合同》。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、本次出租标的的交接，在出租方与承租方之间进行。具体如下：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（1）如原承租方获得出租标的的，原承租方签订《成交通知书》、《房屋租赁合同》并付清首期租金、履约保证金和交易服务费等交易资金，自即视作出租方已完成出租标的的交付。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如原承租方未获得出租标的的，承租方付清首期租金、履约保证金和交易服务费后，由承租方和出租方在起租日前签订移交确认书。原承租方和/或次承租方的合同转签以及到期不续租的清退等工作均由承租方负责处理，原承租方及出租方给子协助</w:t>
      </w:r>
      <w:bookmarkStart w:id="0" w:name="_GoBack"/>
      <w:bookmarkEnd w:id="0"/>
      <w:r>
        <w:rPr>
          <w:rFonts w:hint="eastAsia" w:asciiTheme="minorEastAsia" w:hAnsiTheme="minorEastAsia" w:eastAsiaTheme="minorEastAsia"/>
          <w:szCs w:val="21"/>
        </w:rPr>
        <w:t>。承租方保证不违反法律、法规的情况下，做好移交期间招租房产的商户维稳工作及招租房产的安全工作。承租方提出的任何附加条件或需要修改已签订的《租赁合同》时，出租方不予支持。</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如承租方逾期付款，出租方有权延期交房，承租方每日按逾期额的千分之五向出租方支付违约金。逾期付款超过十日，视承租方根本违约，出租方有权单方面解除已签订的《房屋租赁合同》，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（4）如确有特殊原因需要延迟移交标的的，出租方则另行通知承租方，租赁期限将相应顺延，以实际交付日起算租赁期限。</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（5）交付按移交时现状进行，不保证装修、设施、设备的完好。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、出租标的成交的，杭交所有权向承租方按以下标准收取交易服务费：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36B22E2"/>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584272"/>
    <w:rsid w:val="54E742B4"/>
    <w:rsid w:val="561C7668"/>
    <w:rsid w:val="563F5F26"/>
    <w:rsid w:val="56EE2F1F"/>
    <w:rsid w:val="584668FF"/>
    <w:rsid w:val="5D5C2DED"/>
    <w:rsid w:val="5DB959AE"/>
    <w:rsid w:val="633A51EB"/>
    <w:rsid w:val="657C12B1"/>
    <w:rsid w:val="65AD277F"/>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2025-09-19T03:29:32Z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