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在线报价</w:t>
      </w:r>
      <w:r>
        <w:rPr>
          <w:rFonts w:hint="eastAsia" w:ascii="黑体" w:hAnsi="黑体" w:eastAsia="黑体" w:cs="黑体"/>
          <w:b/>
          <w:bCs/>
          <w:sz w:val="36"/>
          <w:szCs w:val="36"/>
        </w:rPr>
        <w:t>承诺函</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lang w:val="en-US" w:eastAsia="zh-CN"/>
        </w:rPr>
      </w:pPr>
      <w:r>
        <w:rPr>
          <w:rFonts w:hint="eastAsia" w:asciiTheme="minorEastAsia" w:hAnsiTheme="minorEastAsia" w:eastAsiaTheme="minorEastAsia"/>
          <w:szCs w:val="21"/>
        </w:rPr>
        <w:t>杭州企业产权交易中心有限公司</w:t>
      </w:r>
      <w:r>
        <w:rPr>
          <w:rFonts w:hint="eastAsia" w:asciiTheme="minorEastAsia" w:hAnsiTheme="minorEastAsia"/>
          <w:szCs w:val="21"/>
          <w:highlight w:val="none"/>
          <w:u w:val="single"/>
          <w:lang w:val="en-US"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r>
        <w:rPr>
          <w:rFonts w:hint="eastAsia" w:asciiTheme="minorEastAsia" w:hAnsiTheme="minorEastAsia"/>
          <w:szCs w:val="21"/>
          <w:highlight w:val="none"/>
          <w:u w:val="single"/>
          <w:lang w:val="en-US" w:eastAsia="zh-CN"/>
        </w:rPr>
        <w:t>四川省自贡市自流井区汇兴路桂花社区居委会6组4栋1-1-2号房产</w:t>
      </w:r>
      <w:r>
        <w:rPr>
          <w:rFonts w:hint="eastAsia" w:asciiTheme="minorEastAsia" w:hAnsiTheme="minorEastAsia"/>
          <w:szCs w:val="21"/>
          <w:highlight w:val="none"/>
          <w:u w:val="none"/>
          <w:lang w:val="en-US" w:eastAsia="zh-CN"/>
        </w:rPr>
        <w:t>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一、我方已仔细阅读并自愿遵守杭交所《资产转让在线报价交易须知》等文件的规定，同意按照相关规定参加本项目在线报价活动。</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我方已完成对本项目标的的全面调查了解（包括但不限于查阅由转让方提供的本项目档案文件），对项目的情况已充分知晓。我方对竞买行为负责，自行承担包括但不限于因所获取的标的信息不全面或误解而产生的相应后果。</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三、本次受让是我方真实意愿表示，所提交的受让申请及附件材料的内容不存在虚假记载、误导性陈述或重大遗漏，我方对其真实性、完整性、合法性、有效性承担法律责任。</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四、我方系合法有效存续的法人或非法人组织，具有良好的财务状况、支付能力和商业信用，且资金来源合法，符合有关法律法规及本项目对受让方应当具备条件的规定。（适用于法人或非法人组织）</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我方具有完全民事行为能力，具备良好的社会信誉和支付能力，且资金来源合法，符合有关法律法规及本项目对受让方应当具备条件的规定。（适用于自然人）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五、我方承诺在被确认为</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eastAsiaTheme="minorEastAsia" w:cstheme="minorEastAsia"/>
          <w:sz w:val="21"/>
          <w:szCs w:val="21"/>
          <w:u w:val="none"/>
          <w:lang w:val="en-US" w:eastAsia="zh-CN"/>
        </w:rPr>
        <w:t>按照信息披露公告的要求，与</w:t>
      </w:r>
      <w:r>
        <w:rPr>
          <w:rFonts w:hint="eastAsia" w:asciiTheme="minorEastAsia" w:hAnsiTheme="minorEastAsia" w:eastAsiaTheme="minorEastAsia" w:cstheme="minorEastAsia"/>
          <w:sz w:val="21"/>
          <w:szCs w:val="21"/>
          <w:u w:val="single"/>
          <w:lang w:val="en-US" w:eastAsia="zh-CN"/>
        </w:rPr>
        <w:t>转让方</w:t>
      </w:r>
      <w:r>
        <w:rPr>
          <w:rFonts w:hint="eastAsia" w:asciiTheme="minorEastAsia" w:hAnsiTheme="minorEastAsia" w:eastAsiaTheme="minorEastAsia" w:cstheme="minorEastAsia"/>
          <w:sz w:val="21"/>
          <w:szCs w:val="21"/>
          <w:u w:val="none"/>
          <w:lang w:val="en-US" w:eastAsia="zh-CN"/>
        </w:rPr>
        <w:t>签署</w:t>
      </w:r>
      <w:r>
        <w:rPr>
          <w:rFonts w:hint="eastAsia" w:asciiTheme="minorEastAsia" w:hAnsiTheme="minorEastAsia"/>
          <w:szCs w:val="21"/>
          <w:highlight w:val="none"/>
          <w:u w:val="single"/>
        </w:rPr>
        <w:t>《资产交易合同》</w:t>
      </w:r>
      <w:r>
        <w:rPr>
          <w:rFonts w:hint="eastAsia" w:asciiTheme="minorEastAsia" w:hAnsiTheme="minorEastAsia" w:eastAsiaTheme="minorEastAsia" w:cstheme="minorEastAsia"/>
          <w:sz w:val="21"/>
          <w:szCs w:val="21"/>
          <w:u w:val="none"/>
          <w:lang w:val="en-US" w:eastAsia="zh-CN"/>
        </w:rPr>
        <w:t>并</w:t>
      </w:r>
      <w:r>
        <w:rPr>
          <w:rFonts w:hint="eastAsia" w:asciiTheme="minorEastAsia" w:hAnsiTheme="minorEastAsia" w:eastAsiaTheme="minorEastAsia" w:cstheme="minorEastAsia"/>
          <w:i w:val="0"/>
          <w:iCs w:val="0"/>
          <w:sz w:val="21"/>
          <w:szCs w:val="21"/>
          <w:highlight w:val="none"/>
        </w:rPr>
        <w:t>支付</w:t>
      </w:r>
      <w:r>
        <w:rPr>
          <w:rFonts w:hint="eastAsia" w:asciiTheme="minorEastAsia" w:hAnsiTheme="minorEastAsia" w:eastAsiaTheme="minorEastAsia" w:cstheme="minorEastAsia"/>
          <w:i w:val="0"/>
          <w:iCs w:val="0"/>
          <w:sz w:val="21"/>
          <w:szCs w:val="21"/>
          <w:highlight w:val="none"/>
          <w:u w:val="single"/>
        </w:rPr>
        <w:t>交易服务费、交易价款</w:t>
      </w:r>
      <w:r>
        <w:rPr>
          <w:rFonts w:hint="eastAsia" w:asciiTheme="minorEastAsia" w:hAnsiTheme="minorEastAsia" w:eastAsiaTheme="minorEastAsia" w:cstheme="minorEastAsia"/>
          <w:i w:val="0"/>
          <w:iCs w:val="0"/>
          <w:sz w:val="21"/>
          <w:szCs w:val="21"/>
          <w:highlight w:val="none"/>
        </w:rPr>
        <w:t>等交易资金</w:t>
      </w:r>
      <w:r>
        <w:rPr>
          <w:rFonts w:hint="eastAsia" w:asciiTheme="minorEastAsia" w:hAnsiTheme="minorEastAsia" w:eastAsiaTheme="minorEastAsia" w:cstheme="minorEastAsia"/>
          <w:i w:val="0"/>
          <w:i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六、我方</w:t>
      </w:r>
      <w:r>
        <w:rPr>
          <w:rFonts w:hint="eastAsia" w:asciiTheme="minorEastAsia" w:hAnsiTheme="minorEastAsia" w:eastAsiaTheme="minorEastAsia" w:cstheme="minorEastAsia"/>
          <w:sz w:val="21"/>
          <w:szCs w:val="21"/>
        </w:rPr>
        <w:t>同意杭交所</w:t>
      </w:r>
      <w:r>
        <w:rPr>
          <w:rFonts w:hint="eastAsia" w:asciiTheme="minorEastAsia" w:hAnsiTheme="minorEastAsia" w:eastAsiaTheme="minorEastAsia" w:cstheme="minorEastAsia"/>
          <w:sz w:val="21"/>
          <w:szCs w:val="21"/>
          <w:lang w:val="en-US" w:eastAsia="zh-CN"/>
        </w:rPr>
        <w:t>按照信息披露公告的要求</w:t>
      </w:r>
      <w:r>
        <w:rPr>
          <w:rFonts w:hint="eastAsia" w:asciiTheme="minorEastAsia" w:hAnsiTheme="minorEastAsia" w:eastAsiaTheme="minorEastAsia" w:cstheme="minorEastAsia"/>
          <w:sz w:val="21"/>
          <w:szCs w:val="21"/>
        </w:rPr>
        <w:t>将</w:t>
      </w:r>
      <w:r>
        <w:rPr>
          <w:rFonts w:hint="eastAsia" w:asciiTheme="minorEastAsia" w:hAnsiTheme="minorEastAsia" w:eastAsiaTheme="minorEastAsia" w:cstheme="minorEastAsia"/>
          <w:sz w:val="21"/>
          <w:szCs w:val="21"/>
          <w:u w:val="single"/>
        </w:rPr>
        <w:t>受让方</w:t>
      </w:r>
      <w:r>
        <w:rPr>
          <w:rFonts w:hint="eastAsia" w:asciiTheme="minorEastAsia" w:hAnsiTheme="minorEastAsia" w:eastAsiaTheme="minorEastAsia" w:cstheme="minorEastAsia"/>
          <w:sz w:val="21"/>
          <w:szCs w:val="21"/>
        </w:rPr>
        <w:t>已交纳的</w:t>
      </w:r>
      <w:r>
        <w:rPr>
          <w:rFonts w:hint="eastAsia" w:asciiTheme="minorEastAsia" w:hAnsiTheme="minorEastAsia" w:eastAsiaTheme="minorEastAsia" w:cstheme="minorEastAsia"/>
          <w:i w:val="0"/>
          <w:iCs w:val="0"/>
          <w:sz w:val="21"/>
          <w:szCs w:val="21"/>
          <w:highlight w:val="none"/>
          <w:u w:val="single"/>
        </w:rPr>
        <w:t>交易价款</w:t>
      </w:r>
      <w:r>
        <w:rPr>
          <w:rFonts w:hint="eastAsia" w:asciiTheme="minorEastAsia" w:hAnsiTheme="minorEastAsia" w:eastAsiaTheme="minorEastAsia" w:cstheme="minorEastAsia"/>
          <w:sz w:val="21"/>
          <w:szCs w:val="21"/>
        </w:rPr>
        <w:t>划转至</w:t>
      </w:r>
      <w:r>
        <w:rPr>
          <w:rFonts w:hint="eastAsia" w:asciiTheme="minorEastAsia" w:hAnsiTheme="minorEastAsia" w:eastAsiaTheme="minorEastAsia" w:cstheme="minorEastAsia"/>
          <w:sz w:val="21"/>
          <w:szCs w:val="21"/>
          <w:u w:val="single"/>
        </w:rPr>
        <w:t>转让方</w:t>
      </w:r>
      <w:r>
        <w:rPr>
          <w:rFonts w:hint="eastAsia" w:asciiTheme="minorEastAsia" w:hAnsiTheme="minorEastAsia" w:eastAsiaTheme="minorEastAsia" w:cstheme="minorEastAsia"/>
          <w:sz w:val="21"/>
          <w:szCs w:val="21"/>
        </w:rPr>
        <w:t>指定账户。</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七、我方已知悉并同意：</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同意在被确定为受让方之日起5个工作日内，携带受让申请材料原件到杭交所完成现场确认并签署交易记录、《成交通知书》、《资产交易合同》；并在《成交通知书》、《资产交易合同》签署之日起10个工作日内向杭交所指定账户一次性支付交易服务费、交易价款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（2）同意杭交所在经转让方申请之日起3个工作日内将受让方已交纳的交易价款全部划转至转让方指定账户。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同意受让方应自行了解并完全符合国家及房地产所在市规定的购房条件。若因受让方原因造成所成交的房屋无法过户，所缴纳的购房款损失及其他经济损失均由受让方承担，与转让方、杭交所和经纪会员无关，受让方已付交易服务费、履约保证金不予返还。</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（4）同意若因转让方原因造成房屋无法过户给受让方的，转让方将退还受让方缴纳给转让方的所有购房款并承担受让方须支付的交易服务费。转让方、受让方双方签订的合同自动解除，不再承担其他违约责任。</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同意在办理房地产权证变更登记手续时，有关职能部门要求提供文本合同的，转让方和受让方双方应按照相关规定签订文本合同。但双方签订的该等文本合同仅作为办理登记手续之用，不作为双方的实际履行依据，双方权利义务关系均以《资产交易合同》为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6）同意转让标的交割前所涉及标的拖欠的各种费用（包括但不限于物业管理费、水电费等）均由转让方承担，相关费用从交接次月起由受让方承担。水、电可以重新开户的，相关手续及费用由受让方自理，但是否可以重新开户不在转让方合同义务范围内，具体按照转让标的情况和政府相关管理规定执行。</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（7）同意本次转让标的房屋如有漏水或需维修的情况，均由受让方自理,转让方不承担任何费用和责任。</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（8）同意如有户口未迁出的情况发生，转让方通知原户主把户口迁出，但有关学区房孩子能否就读的情况请意向受让方自行查证，对此转让方、经纪会员、杭交所不做承诺。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bookmarkStart w:id="0" w:name="_GoBack"/>
      <w:bookmarkEnd w:id="0"/>
      <w:r>
        <w:rPr>
          <w:rFonts w:hint="eastAsia" w:asciiTheme="minorEastAsia" w:hAnsiTheme="minorEastAsia" w:eastAsiaTheme="minorEastAsia" w:cstheme="minorEastAsia"/>
          <w:sz w:val="21"/>
          <w:szCs w:val="21"/>
          <w:u w:val="none"/>
          <w:lang w:val="en-US" w:eastAsia="zh-CN"/>
        </w:rPr>
        <w:t>八、我方已知悉：本次转让方与受让方的权利义务以及房屋的交接，最终以转让方提供的《资产交易合同》为准。</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九、我方同意交纳成交金额2.5%的交易服务费。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十、我方同意，在我方发生违反交易规则、</w:t>
      </w:r>
      <w:r>
        <w:rPr>
          <w:rFonts w:hint="eastAsia" w:asciiTheme="minorEastAsia" w:hAnsiTheme="minorEastAsia" w:eastAsiaTheme="minorEastAsia" w:cstheme="minorEastAsia"/>
          <w:sz w:val="21"/>
          <w:szCs w:val="21"/>
          <w:u w:val="single"/>
          <w:lang w:val="en-US" w:eastAsia="zh-CN"/>
        </w:rPr>
        <w:t>《资产转让在线报价交易须知》</w:t>
      </w:r>
      <w:r>
        <w:rPr>
          <w:rFonts w:hint="eastAsia" w:asciiTheme="minorEastAsia" w:hAnsiTheme="minorEastAsia" w:eastAsiaTheme="minorEastAsia" w:cstheme="minorEastAsia"/>
          <w:sz w:val="21"/>
          <w:szCs w:val="21"/>
          <w:u w:val="none"/>
          <w:lang w:val="en-US" w:eastAsia="zh-CN"/>
        </w:rPr>
        <w:t>、信息披露公告的保证金处置情形及其他违规违约行为时，我方已交纳的交易保证金不予退还。</w:t>
      </w:r>
    </w:p>
    <w:p>
      <w:pPr>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Theme="minorEastAsia" w:hAnsiTheme="minorEastAsia" w:eastAsiaTheme="minorEastAsia" w:cstheme="minorEastAsia"/>
          <w:sz w:val="21"/>
          <w:szCs w:val="21"/>
          <w:u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4620" w:firstLineChars="22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auto"/>
        <w:ind w:firstLine="420"/>
        <w:rPr>
          <w:rFonts w:hint="eastAsia" w:asciiTheme="minorEastAsia" w:hAnsiTheme="minorEastAsia" w:eastAsiaTheme="minorEastAsia" w:cstheme="minorEastAsia"/>
          <w:sz w:val="21"/>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6A1F95"/>
    <w:rsid w:val="02807F0C"/>
    <w:rsid w:val="02944B60"/>
    <w:rsid w:val="03066051"/>
    <w:rsid w:val="035209E2"/>
    <w:rsid w:val="03637B8E"/>
    <w:rsid w:val="03D02D77"/>
    <w:rsid w:val="03F2084C"/>
    <w:rsid w:val="05996D82"/>
    <w:rsid w:val="06D61A33"/>
    <w:rsid w:val="0A816FC2"/>
    <w:rsid w:val="0B947232"/>
    <w:rsid w:val="0DEB4AEA"/>
    <w:rsid w:val="0DF1051E"/>
    <w:rsid w:val="0E4244C0"/>
    <w:rsid w:val="0EE257B6"/>
    <w:rsid w:val="0EED0604"/>
    <w:rsid w:val="12676AFC"/>
    <w:rsid w:val="13354926"/>
    <w:rsid w:val="173E5800"/>
    <w:rsid w:val="1D1A2605"/>
    <w:rsid w:val="1D4F009E"/>
    <w:rsid w:val="1DCD7086"/>
    <w:rsid w:val="20086EEC"/>
    <w:rsid w:val="20B736BA"/>
    <w:rsid w:val="223C333E"/>
    <w:rsid w:val="22DB61FE"/>
    <w:rsid w:val="23FD3CFF"/>
    <w:rsid w:val="241B78B5"/>
    <w:rsid w:val="24B32915"/>
    <w:rsid w:val="24F92896"/>
    <w:rsid w:val="26CD0F19"/>
    <w:rsid w:val="27541626"/>
    <w:rsid w:val="27AA290F"/>
    <w:rsid w:val="28015826"/>
    <w:rsid w:val="285D694C"/>
    <w:rsid w:val="2F920987"/>
    <w:rsid w:val="2FA5177C"/>
    <w:rsid w:val="32FB67E2"/>
    <w:rsid w:val="33617865"/>
    <w:rsid w:val="340E30B5"/>
    <w:rsid w:val="34616EA4"/>
    <w:rsid w:val="36262C37"/>
    <w:rsid w:val="374843BB"/>
    <w:rsid w:val="3B103714"/>
    <w:rsid w:val="3B6738AB"/>
    <w:rsid w:val="3BF411DD"/>
    <w:rsid w:val="3C051875"/>
    <w:rsid w:val="3DD0447D"/>
    <w:rsid w:val="3EAF4F52"/>
    <w:rsid w:val="3EE14E32"/>
    <w:rsid w:val="40557373"/>
    <w:rsid w:val="4175466F"/>
    <w:rsid w:val="42DC5B12"/>
    <w:rsid w:val="434808BC"/>
    <w:rsid w:val="43A6395B"/>
    <w:rsid w:val="43AC3254"/>
    <w:rsid w:val="45962498"/>
    <w:rsid w:val="45D57A5F"/>
    <w:rsid w:val="462058DF"/>
    <w:rsid w:val="469D2A72"/>
    <w:rsid w:val="46A75F3E"/>
    <w:rsid w:val="46AC7FEA"/>
    <w:rsid w:val="46E02C68"/>
    <w:rsid w:val="4818792F"/>
    <w:rsid w:val="49D3715B"/>
    <w:rsid w:val="4A43784C"/>
    <w:rsid w:val="5187378F"/>
    <w:rsid w:val="54B042DF"/>
    <w:rsid w:val="558216BF"/>
    <w:rsid w:val="5A7D1B2E"/>
    <w:rsid w:val="5B7B2FC6"/>
    <w:rsid w:val="5E012EA3"/>
    <w:rsid w:val="5E765AB3"/>
    <w:rsid w:val="6256136A"/>
    <w:rsid w:val="62B34C64"/>
    <w:rsid w:val="63C12C87"/>
    <w:rsid w:val="658E2846"/>
    <w:rsid w:val="65B60DBF"/>
    <w:rsid w:val="65CE1365"/>
    <w:rsid w:val="67304439"/>
    <w:rsid w:val="67B63B0A"/>
    <w:rsid w:val="6A345F56"/>
    <w:rsid w:val="6A3E0B10"/>
    <w:rsid w:val="6B0D73A8"/>
    <w:rsid w:val="6B7C4F72"/>
    <w:rsid w:val="6BBC636F"/>
    <w:rsid w:val="6F563286"/>
    <w:rsid w:val="6F66379F"/>
    <w:rsid w:val="71004FEE"/>
    <w:rsid w:val="714C77AC"/>
    <w:rsid w:val="71D57417"/>
    <w:rsid w:val="71FB4BF9"/>
    <w:rsid w:val="74386F45"/>
    <w:rsid w:val="7463789C"/>
    <w:rsid w:val="750E26AF"/>
    <w:rsid w:val="76431428"/>
    <w:rsid w:val="76B40A9F"/>
    <w:rsid w:val="77DE79EB"/>
    <w:rsid w:val="78421314"/>
    <w:rsid w:val="78FD4C26"/>
    <w:rsid w:val="795E558F"/>
    <w:rsid w:val="7A951EF5"/>
    <w:rsid w:val="7B1C7D02"/>
    <w:rsid w:val="7BCD0906"/>
    <w:rsid w:val="7C0D0553"/>
    <w:rsid w:val="7CDC4D78"/>
    <w:rsid w:val="7D665241"/>
    <w:rsid w:val="7EF142D8"/>
    <w:rsid w:val="7F274F4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2025-07-08T07:18:17Z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D360F01A37514DFEB6B100711346EEE4</vt:lpwstr>
  </property>
</Properties>
</file>