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11"/>
      <w:r>
        <w:rPr>
          <w:rFonts w:hint="eastAsia" w:asciiTheme="minorEastAsia" w:hAnsiTheme="minorEastAsia" w:eastAsiaTheme="minorEastAsia"/>
          <w:b/>
          <w:bCs/>
          <w:szCs w:val="21"/>
          <w:u w:val="single"/>
          <w:lang w:val="en-US" w:eastAsia="zh-CN"/>
        </w:rPr>
        <w:t>杭州市西湖区天际大厦1005室-2房屋1年租赁权</w:t>
      </w:r>
      <w:bookmarkEnd w:id="0"/>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rPr>
        <w:t>同意在被确定为承租方之日起3个工作日内携带报名时上传的主体资格证明等相关文件原件至杭交所完成现场确认和签署《成交通知书》、《天际大厦租赁合同》；并在《成交通知书》、《天际大厦租赁合同》签署之日起</w:t>
      </w:r>
      <w:r>
        <w:rPr>
          <w:rFonts w:hint="eastAsia"/>
          <w:lang w:val="en-US" w:eastAsia="zh-CN"/>
        </w:rPr>
        <w:t>5</w:t>
      </w:r>
      <w:r>
        <w:rPr>
          <w:rFonts w:hint="eastAsia"/>
        </w:rPr>
        <w:t>个工作日内向杭交所指定账户一次性支付</w:t>
      </w:r>
      <w:r>
        <w:rPr>
          <w:rFonts w:hint="eastAsia"/>
          <w:lang w:val="en-US" w:eastAsia="zh-CN"/>
        </w:rPr>
        <w:t>首期</w:t>
      </w:r>
      <w:r>
        <w:rPr>
          <w:rFonts w:hint="eastAsia"/>
        </w:rPr>
        <w:t>租金、履约保证金、交易服务费等交易资金（以到账时间为准）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房屋所有权证附记记载：商品房，规划批建为办公用房。</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w:t>
      </w:r>
      <w:bookmarkStart w:id="2" w:name="_GoBack"/>
      <w:bookmarkEnd w:id="2"/>
      <w:r>
        <w:rPr>
          <w:rFonts w:hint="eastAsia" w:asciiTheme="minorEastAsia" w:hAnsiTheme="minorEastAsia" w:eastAsiaTheme="minorEastAsia"/>
          <w:szCs w:val="21"/>
        </w:rPr>
        <w:t>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lang w:eastAsia="zh-CN"/>
        </w:rPr>
        <w:t>合同期内，承租方不得将租赁房屋对外转租</w:t>
      </w:r>
      <w:r>
        <w:rPr>
          <w:rFonts w:hint="eastAsia"/>
        </w:rPr>
        <w:t>。</w:t>
      </w:r>
    </w:p>
    <w:p>
      <w:pPr>
        <w:spacing w:line="336" w:lineRule="auto"/>
        <w:ind w:firstLine="420" w:firstLineChars="200"/>
        <w:rPr>
          <w:rFonts w:hint="eastAsia"/>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rPr>
        <w:t>房屋按现状交付，如需改变房屋用途应由承租方自行办理相关手续，出租方对此不作承诺与保证，出租方对此充分知悉并表示同意；如承租方需开通燃气，在承租方完成必要手续的前提下，出租方同意配合开通，燃气管道入户工程费用（不含户内安装）可由出租方承担（以实际发生为准，不得超过人民币玖万元，超过部分由承租方支出）。燃气管道具体接通工作及户内安装等其他费用和改造接入施工、用气安全均由承租方负责，具体实施方式可根据杭州天燃气有限公司施工要求另行签订补充协议。同时，出租方同意并承诺：无论燃气最终是否开通，均不影响本租赁合同继续履行，承租方仍应继续履行本合同项下全部义务，承租方不据此主张减免租金、解除合同或索赔损失</w:t>
      </w:r>
      <w:r>
        <w:rPr>
          <w:rFonts w:hint="eastAsia"/>
          <w:lang w:eastAsia="zh-CN"/>
        </w:rPr>
        <w:t>。</w:t>
      </w:r>
    </w:p>
    <w:p>
      <w:pPr>
        <w:spacing w:line="336" w:lineRule="auto"/>
        <w:ind w:firstLine="420" w:firstLineChars="200"/>
        <w:rPr>
          <w:rFonts w:hint="eastAsia"/>
        </w:rPr>
      </w:pPr>
      <w:r>
        <w:rPr>
          <w:rFonts w:hint="eastAsia"/>
          <w:lang w:val="en-US" w:eastAsia="zh-CN"/>
        </w:rPr>
        <w:t>9</w:t>
      </w:r>
      <w:r>
        <w:rPr>
          <w:rFonts w:hint="eastAsia"/>
        </w:rPr>
        <w:t>、</w:t>
      </w:r>
      <w:bookmarkStart w:id="1" w:name="OLE_LINK1"/>
      <w:r>
        <w:rPr>
          <w:rFonts w:hint="eastAsia"/>
        </w:rPr>
        <w:t>若我方成为承租方，我方已知悉并同意：</w:t>
      </w:r>
      <w:bookmarkEnd w:id="1"/>
      <w:r>
        <w:rPr>
          <w:rFonts w:hint="eastAsia"/>
        </w:rPr>
        <w:t>本次交易出租方和承租方的相关权利义务</w:t>
      </w:r>
      <w:r>
        <w:rPr>
          <w:rFonts w:hint="eastAsia"/>
          <w:lang w:val="en-US" w:eastAsia="zh-CN"/>
        </w:rPr>
        <w:t>及房屋交付</w:t>
      </w:r>
      <w:r>
        <w:rPr>
          <w:rFonts w:hint="eastAsia"/>
        </w:rPr>
        <w:t>以《</w:t>
      </w:r>
      <w:r>
        <w:rPr>
          <w:rFonts w:hint="eastAsia"/>
          <w:lang w:eastAsia="zh-CN"/>
        </w:rPr>
        <w:t>天际大厦租赁合同</w:t>
      </w:r>
      <w:r>
        <w:rPr>
          <w:rFonts w:hint="eastAsia"/>
        </w:rPr>
        <w:t>》（样本）为准。</w:t>
      </w:r>
    </w:p>
    <w:p>
      <w:pPr>
        <w:spacing w:line="336" w:lineRule="auto"/>
        <w:ind w:firstLine="420" w:firstLineChars="200"/>
        <w:rPr>
          <w:rFonts w:hint="default"/>
          <w:lang w:val="en-US" w:eastAsia="zh-CN"/>
        </w:rPr>
      </w:pPr>
      <w:r>
        <w:rPr>
          <w:rFonts w:hint="eastAsia"/>
        </w:rPr>
        <w:t>1</w:t>
      </w:r>
      <w:r>
        <w:rPr>
          <w:rFonts w:hint="eastAsia"/>
          <w:lang w:val="en-US" w:eastAsia="zh-CN"/>
        </w:rPr>
        <w:t>0</w:t>
      </w:r>
      <w:r>
        <w:rPr>
          <w:rFonts w:hint="eastAsia"/>
        </w:rPr>
        <w:t>、</w:t>
      </w:r>
      <w:r>
        <w:rPr>
          <w:rFonts w:hint="default"/>
          <w:lang w:val="en-US" w:eastAsia="zh-CN"/>
        </w:rPr>
        <w:t>本项目成交后，承租方须向杭交所按以下标准支付交易服务费：</w:t>
      </w:r>
    </w:p>
    <w:p>
      <w:pPr>
        <w:spacing w:line="336" w:lineRule="auto"/>
        <w:ind w:firstLine="420" w:firstLineChars="200"/>
        <w:rPr>
          <w:rFonts w:hint="eastAsia"/>
          <w:lang w:val="en-US" w:eastAsia="zh-CN"/>
        </w:rPr>
      </w:pPr>
      <w:r>
        <w:rPr>
          <w:rFonts w:hint="default"/>
          <w:lang w:val="en-US" w:eastAsia="zh-CN"/>
        </w:rPr>
        <w:t>（1）各年累计租金在800万元以下，按照各年累计租金的2%收取</w:t>
      </w:r>
      <w:r>
        <w:rPr>
          <w:rFonts w:hint="eastAsia"/>
          <w:lang w:val="en-US" w:eastAsia="zh-CN"/>
        </w:rPr>
        <w:t>；</w:t>
      </w:r>
    </w:p>
    <w:p>
      <w:pPr>
        <w:spacing w:line="336" w:lineRule="auto"/>
        <w:ind w:firstLine="420" w:firstLineChars="200"/>
        <w:rPr>
          <w:rFonts w:hint="default"/>
          <w:lang w:val="en-US" w:eastAsia="zh-CN"/>
        </w:rPr>
      </w:pPr>
      <w:r>
        <w:rPr>
          <w:rFonts w:hint="default"/>
          <w:lang w:val="en-US" w:eastAsia="zh-CN"/>
        </w:rPr>
        <w:t>（2）各年累计租金在800万元以上的，按照各年累计租金的1.5%收取。</w:t>
      </w:r>
    </w:p>
    <w:p>
      <w:pPr>
        <w:spacing w:line="336" w:lineRule="auto"/>
        <w:ind w:firstLine="420" w:firstLineChars="200"/>
        <w:rPr>
          <w:rFonts w:hint="default"/>
          <w:lang w:val="en-US" w:eastAsia="zh-CN"/>
        </w:rPr>
      </w:pPr>
      <w:r>
        <w:rPr>
          <w:rFonts w:hint="default"/>
          <w:lang w:val="en-US" w:eastAsia="zh-CN"/>
        </w:rPr>
        <w:t>如仅一位意向承租方报名且成交的，可按以上收费标准减半收取。</w:t>
      </w:r>
    </w:p>
    <w:p>
      <w:pPr>
        <w:spacing w:line="336" w:lineRule="auto"/>
        <w:ind w:firstLine="420" w:firstLineChars="200"/>
        <w:rPr>
          <w:rFonts w:hint="eastAsia"/>
        </w:rPr>
      </w:pPr>
      <w:r>
        <w:rPr>
          <w:rFonts w:hint="eastAsia"/>
        </w:rPr>
        <w:t>1</w:t>
      </w:r>
      <w:r>
        <w:rPr>
          <w:rFonts w:hint="eastAsia"/>
          <w:lang w:val="en-US" w:eastAsia="zh-CN"/>
        </w:rPr>
        <w:t>1</w:t>
      </w:r>
      <w:r>
        <w:rPr>
          <w:rFonts w:hint="eastAsia"/>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rPr>
        <w:t>（1）意向承租方提交承租申</w:t>
      </w:r>
      <w:r>
        <w:rPr>
          <w:rFonts w:hint="eastAsia" w:asciiTheme="minorEastAsia" w:hAnsiTheme="minorEastAsia" w:eastAsiaTheme="minorEastAsia"/>
          <w:szCs w:val="21"/>
        </w:rPr>
        <w:t>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天际大厦租赁合同</w:t>
      </w:r>
      <w:r>
        <w:rPr>
          <w:rFonts w:hint="eastAsia" w:asciiTheme="minorEastAsia" w:hAnsiTheme="minorEastAsia" w:eastAsiaTheme="minorEastAsia"/>
          <w:szCs w:val="21"/>
        </w:rPr>
        <w:t>》的或未按约定支付首期租金、履约保证金、交易服务费的；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pStyle w:val="2"/>
        <w:rPr>
          <w:rFonts w:hint="eastAsia"/>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923930"/>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7A5188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526581"/>
    <w:rsid w:val="3E782391"/>
    <w:rsid w:val="3EBF19DA"/>
    <w:rsid w:val="40E53FB4"/>
    <w:rsid w:val="413362B8"/>
    <w:rsid w:val="42C54CCE"/>
    <w:rsid w:val="45F94112"/>
    <w:rsid w:val="494F753A"/>
    <w:rsid w:val="4A9D5263"/>
    <w:rsid w:val="4AFF3DA7"/>
    <w:rsid w:val="4CC66179"/>
    <w:rsid w:val="4E0013D2"/>
    <w:rsid w:val="4F7C66F8"/>
    <w:rsid w:val="50B653E2"/>
    <w:rsid w:val="50EE6AAC"/>
    <w:rsid w:val="51317EBA"/>
    <w:rsid w:val="52FA2FF0"/>
    <w:rsid w:val="54E742B4"/>
    <w:rsid w:val="563F5F26"/>
    <w:rsid w:val="56EE2F1F"/>
    <w:rsid w:val="5760196D"/>
    <w:rsid w:val="584668FF"/>
    <w:rsid w:val="58C44DE5"/>
    <w:rsid w:val="5983467E"/>
    <w:rsid w:val="59F94169"/>
    <w:rsid w:val="5B3B3E60"/>
    <w:rsid w:val="5B4864E4"/>
    <w:rsid w:val="5DB959AE"/>
    <w:rsid w:val="60143733"/>
    <w:rsid w:val="62A03507"/>
    <w:rsid w:val="633A51EB"/>
    <w:rsid w:val="657C12B1"/>
    <w:rsid w:val="6656185A"/>
    <w:rsid w:val="66B8002E"/>
    <w:rsid w:val="66CB09E9"/>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60" w:after="60"/>
      <w:outlineLvl w:val="0"/>
    </w:pPr>
    <w:rPr>
      <w:rFonts w:ascii="仿宋_GB2312" w:eastAsia="仿宋_GB2312"/>
      <w:sz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Normal Indent"/>
    <w:basedOn w:val="1"/>
    <w:qFormat/>
    <w:uiPriority w:val="99"/>
    <w:pPr>
      <w:ind w:firstLine="42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paragraph" w:customStyle="1" w:styleId="18">
    <w:name w:val="NormalIndent"/>
    <w:basedOn w:val="1"/>
    <w:qFormat/>
    <w:uiPriority w:val="0"/>
    <w:pPr>
      <w:ind w:firstLine="420"/>
    </w:pPr>
    <w:rPr>
      <w:rFonts w:ascii="Calibri" w:hAnsi="Calibri"/>
      <w:szCs w:val="22"/>
    </w:rPr>
  </w:style>
  <w:style w:type="paragraph" w:customStyle="1" w:styleId="19">
    <w:name w:val="样式 小四3"/>
    <w:qFormat/>
    <w:uiPriority w:val="0"/>
    <w:rPr>
      <w:rFonts w:ascii="等线" w:hAnsi="等线" w:eastAsia="等线" w:cs="Times New Roman"/>
      <w:sz w:val="24"/>
      <w:szCs w:val="24"/>
      <w:lang w:val="en-US" w:eastAsia="en-US" w:bidi="ar-SA"/>
    </w:rPr>
  </w:style>
  <w:style w:type="character" w:customStyle="1" w:styleId="20">
    <w:name w:val="页眉 字符"/>
    <w:basedOn w:val="10"/>
    <w:link w:val="7"/>
    <w:qFormat/>
    <w:uiPriority w:val="99"/>
    <w:rPr>
      <w:rFonts w:ascii="Times New Roman" w:hAnsi="Times New Roman" w:eastAsia="宋体" w:cs="Times New Roman"/>
      <w:sz w:val="18"/>
      <w:szCs w:val="18"/>
    </w:rPr>
  </w:style>
  <w:style w:type="character" w:customStyle="1" w:styleId="21">
    <w:name w:val="页脚 字符"/>
    <w:basedOn w:val="10"/>
    <w:link w:val="6"/>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not([class*=suffix])"/>
    <w:basedOn w:val="10"/>
    <w:qFormat/>
    <w:uiPriority w:val="0"/>
    <w:rPr>
      <w:sz w:val="19"/>
      <w:szCs w:val="19"/>
    </w:rPr>
  </w:style>
  <w:style w:type="character" w:customStyle="1" w:styleId="24">
    <w:name w:val="not([class*=suffix])1"/>
    <w:basedOn w:val="10"/>
    <w:qFormat/>
    <w:uiPriority w:val="0"/>
  </w:style>
  <w:style w:type="character" w:customStyle="1" w:styleId="25">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4</TotalTime>
  <ScaleCrop>false</ScaleCrop>
  <LinksUpToDate>false</LinksUpToDate>
  <CharactersWithSpaces>2233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YY</cp:lastModifiedBy>
  <cp:lastPrinted>2021-08-03T03:13:00Z</cp:lastPrinted>
  <dcterms:modified xsi:type="dcterms:W3CDTF">2025-09-16T06:08:29Z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BA536B07495D48D29D7F0644AF57EDD2</vt:lpwstr>
  </property>
</Properties>
</file>