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黄某超债权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E02C77"/>
    <w:rsid w:val="0DF1051E"/>
    <w:rsid w:val="0F6C6671"/>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2025-08-25T05:41:10Z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