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42C99">
      <w:pPr>
        <w:ind w:right="844"/>
        <w:jc w:val="center"/>
        <w:rPr>
          <w:b/>
        </w:rPr>
      </w:pPr>
      <w:r>
        <w:rPr>
          <w:rFonts w:hint="eastAsia"/>
          <w:b/>
        </w:rPr>
        <w:t xml:space="preserve"> </w:t>
      </w:r>
      <w:r>
        <w:rPr>
          <w:b/>
        </w:rPr>
        <w:t xml:space="preserve">                                                  </w:t>
      </w:r>
      <w:r>
        <w:rPr>
          <w:rFonts w:hint="eastAsia"/>
          <w:b/>
        </w:rPr>
        <w:t>合同编号：</w:t>
      </w:r>
    </w:p>
    <w:p w14:paraId="3FCFA7C6">
      <w:pPr>
        <w:rPr>
          <w:b/>
        </w:rPr>
      </w:pPr>
    </w:p>
    <w:p w14:paraId="1C6427A1">
      <w:pPr>
        <w:ind w:firstLine="627" w:firstLineChars="196"/>
        <w:jc w:val="center"/>
        <w:rPr>
          <w:rFonts w:ascii="仿宋_GB2312" w:hAnsi="仿宋" w:eastAsia="仿宋_GB2312"/>
          <w:sz w:val="32"/>
          <w:szCs w:val="32"/>
        </w:rPr>
      </w:pPr>
    </w:p>
    <w:p w14:paraId="49511704">
      <w:pPr>
        <w:ind w:firstLine="866" w:firstLineChars="196"/>
        <w:jc w:val="center"/>
        <w:rPr>
          <w:rFonts w:ascii="仿宋_GB2312" w:hAnsi="仿宋" w:eastAsia="仿宋_GB2312"/>
          <w:b/>
          <w:bCs/>
          <w:sz w:val="44"/>
          <w:szCs w:val="44"/>
        </w:rPr>
      </w:pPr>
    </w:p>
    <w:p w14:paraId="46ECD1E3">
      <w:pPr>
        <w:ind w:firstLine="866" w:firstLineChars="196"/>
        <w:jc w:val="center"/>
        <w:rPr>
          <w:rFonts w:ascii="仿宋_GB2312" w:hAnsi="仿宋" w:eastAsia="仿宋_GB2312"/>
          <w:b/>
          <w:bCs/>
          <w:sz w:val="44"/>
          <w:szCs w:val="44"/>
        </w:rPr>
      </w:pPr>
    </w:p>
    <w:p w14:paraId="063CDEB7">
      <w:pPr>
        <w:jc w:val="center"/>
        <w:rPr>
          <w:rFonts w:hint="eastAsia" w:ascii="宋体" w:hAnsi="宋体" w:eastAsia="宋体" w:cs="宋体"/>
          <w:b/>
          <w:bCs/>
          <w:sz w:val="48"/>
          <w:szCs w:val="48"/>
        </w:rPr>
      </w:pPr>
      <w:r>
        <w:rPr>
          <w:rFonts w:hint="eastAsia" w:ascii="宋体" w:hAnsi="宋体" w:eastAsia="宋体" w:cs="宋体"/>
          <w:b/>
          <w:bCs/>
          <w:sz w:val="48"/>
          <w:szCs w:val="48"/>
        </w:rPr>
        <w:t>三墩北邻里中心项目</w:t>
      </w:r>
    </w:p>
    <w:p w14:paraId="6838BF83">
      <w:pPr>
        <w:ind w:firstLine="630" w:firstLineChars="196"/>
        <w:jc w:val="center"/>
        <w:rPr>
          <w:rFonts w:ascii="仿宋_GB2312" w:hAnsi="仿宋" w:eastAsia="仿宋_GB2312"/>
          <w:b/>
          <w:bCs/>
          <w:sz w:val="32"/>
          <w:szCs w:val="32"/>
        </w:rPr>
      </w:pPr>
    </w:p>
    <w:p w14:paraId="6417E4CC">
      <w:pPr>
        <w:ind w:firstLine="627" w:firstLineChars="196"/>
        <w:jc w:val="center"/>
        <w:rPr>
          <w:rFonts w:ascii="仿宋_GB2312" w:hAnsi="仿宋" w:eastAsia="仿宋_GB2312"/>
          <w:sz w:val="32"/>
          <w:szCs w:val="32"/>
        </w:rPr>
      </w:pPr>
    </w:p>
    <w:p w14:paraId="03B148A5">
      <w:pPr>
        <w:ind w:firstLine="627" w:firstLineChars="196"/>
        <w:jc w:val="center"/>
        <w:rPr>
          <w:rFonts w:ascii="仿宋_GB2312" w:hAnsi="仿宋" w:eastAsia="仿宋_GB2312"/>
          <w:sz w:val="32"/>
          <w:szCs w:val="32"/>
        </w:rPr>
      </w:pPr>
    </w:p>
    <w:p w14:paraId="52DEF3BB">
      <w:pPr>
        <w:ind w:firstLine="627" w:firstLineChars="196"/>
        <w:jc w:val="center"/>
        <w:rPr>
          <w:rFonts w:hint="eastAsia" w:ascii="仿宋_GB2312" w:hAnsi="仿宋" w:eastAsia="仿宋_GB2312"/>
          <w:sz w:val="32"/>
          <w:szCs w:val="32"/>
        </w:rPr>
      </w:pPr>
      <w:bookmarkStart w:id="0" w:name="_Hlk97051686"/>
      <w:r>
        <w:rPr>
          <w:rFonts w:hint="eastAsia" w:ascii="仿宋_GB2312" w:hAnsi="仿宋" w:eastAsia="仿宋_GB2312"/>
          <w:sz w:val="32"/>
          <w:szCs w:val="32"/>
        </w:rPr>
        <w:t>三墩北邻里中心1号楼4-10层房屋及地下83个车位</w:t>
      </w:r>
    </w:p>
    <w:p w14:paraId="056B24FD">
      <w:pPr>
        <w:ind w:firstLine="627" w:firstLineChars="196"/>
        <w:jc w:val="center"/>
        <w:rPr>
          <w:rFonts w:ascii="仿宋_GB2312" w:hAnsi="仿宋" w:eastAsia="仿宋_GB2312"/>
          <w:sz w:val="32"/>
          <w:szCs w:val="32"/>
        </w:rPr>
      </w:pPr>
      <w:r>
        <w:rPr>
          <w:rFonts w:hint="eastAsia" w:ascii="仿宋_GB2312" w:hAnsi="仿宋" w:eastAsia="仿宋_GB2312"/>
          <w:sz w:val="32"/>
          <w:szCs w:val="32"/>
        </w:rPr>
        <w:t>租赁合同</w:t>
      </w:r>
    </w:p>
    <w:bookmarkEnd w:id="0"/>
    <w:p w14:paraId="7A76AADD">
      <w:pPr>
        <w:ind w:firstLine="551" w:firstLineChars="196"/>
        <w:rPr>
          <w:b/>
          <w:sz w:val="28"/>
        </w:rPr>
      </w:pPr>
    </w:p>
    <w:p w14:paraId="3585DFE4">
      <w:pPr>
        <w:jc w:val="left"/>
        <w:rPr>
          <w:rFonts w:ascii="仿宋_GB2312" w:hAnsi="仿宋" w:eastAsia="仿宋_GB2312"/>
          <w:sz w:val="32"/>
          <w:szCs w:val="32"/>
        </w:rPr>
      </w:pPr>
    </w:p>
    <w:p w14:paraId="6BEAEE30">
      <w:pPr>
        <w:ind w:firstLine="627" w:firstLineChars="196"/>
        <w:jc w:val="left"/>
        <w:rPr>
          <w:rFonts w:ascii="仿宋_GB2312" w:hAnsi="仿宋" w:eastAsia="仿宋_GB2312"/>
          <w:sz w:val="32"/>
          <w:szCs w:val="32"/>
        </w:rPr>
      </w:pPr>
      <w:r>
        <w:rPr>
          <w:rFonts w:hint="eastAsia" w:ascii="仿宋_GB2312" w:hAnsi="仿宋" w:eastAsia="仿宋_GB2312"/>
          <w:sz w:val="32"/>
          <w:szCs w:val="32"/>
        </w:rPr>
        <w:t>甲方：杭州市城市土地发展有限公司</w:t>
      </w:r>
    </w:p>
    <w:p w14:paraId="2EC0A8C4">
      <w:pPr>
        <w:ind w:firstLine="627" w:firstLineChars="196"/>
        <w:jc w:val="left"/>
        <w:rPr>
          <w:rFonts w:ascii="仿宋_GB2312" w:hAnsi="仿宋" w:eastAsia="仿宋_GB2312"/>
          <w:sz w:val="32"/>
          <w:szCs w:val="32"/>
        </w:rPr>
      </w:pPr>
    </w:p>
    <w:p w14:paraId="30172E76">
      <w:pPr>
        <w:ind w:firstLine="627" w:firstLineChars="196"/>
        <w:jc w:val="left"/>
        <w:rPr>
          <w:rFonts w:ascii="仿宋_GB2312" w:hAnsi="仿宋" w:eastAsia="仿宋_GB2312"/>
          <w:sz w:val="32"/>
          <w:szCs w:val="32"/>
        </w:rPr>
      </w:pPr>
      <w:r>
        <w:rPr>
          <w:rFonts w:hint="eastAsia" w:ascii="仿宋_GB2312" w:hAnsi="仿宋" w:eastAsia="仿宋_GB2312"/>
          <w:sz w:val="32"/>
          <w:szCs w:val="32"/>
        </w:rPr>
        <w:t>乙方：</w:t>
      </w:r>
    </w:p>
    <w:p w14:paraId="045E34BF">
      <w:pPr>
        <w:ind w:firstLine="627" w:firstLineChars="196"/>
        <w:jc w:val="left"/>
        <w:rPr>
          <w:rFonts w:ascii="仿宋_GB2312" w:hAnsi="仿宋" w:eastAsia="仿宋_GB2312"/>
          <w:sz w:val="32"/>
          <w:szCs w:val="32"/>
        </w:rPr>
      </w:pPr>
    </w:p>
    <w:p w14:paraId="2D1A28A1">
      <w:pPr>
        <w:ind w:firstLine="627" w:firstLineChars="196"/>
        <w:jc w:val="left"/>
        <w:rPr>
          <w:rFonts w:ascii="仿宋_GB2312" w:hAnsi="仿宋" w:eastAsia="仿宋_GB2312"/>
          <w:sz w:val="32"/>
          <w:szCs w:val="32"/>
        </w:rPr>
      </w:pPr>
    </w:p>
    <w:p w14:paraId="5F956687">
      <w:pPr>
        <w:jc w:val="left"/>
        <w:rPr>
          <w:rFonts w:ascii="仿宋_GB2312" w:hAnsi="仿宋" w:eastAsia="仿宋_GB2312"/>
          <w:sz w:val="32"/>
          <w:szCs w:val="32"/>
        </w:rPr>
      </w:pPr>
    </w:p>
    <w:p w14:paraId="018B322C">
      <w:pPr>
        <w:ind w:firstLine="627" w:firstLineChars="196"/>
        <w:jc w:val="left"/>
        <w:rPr>
          <w:rFonts w:ascii="仿宋_GB2312" w:hAnsi="仿宋" w:eastAsia="仿宋_GB2312"/>
          <w:sz w:val="32"/>
          <w:szCs w:val="32"/>
        </w:rPr>
      </w:pPr>
      <w:r>
        <w:rPr>
          <w:rFonts w:hint="eastAsia" w:ascii="仿宋_GB2312" w:hAnsi="仿宋" w:eastAsia="仿宋_GB2312"/>
          <w:sz w:val="32"/>
          <w:szCs w:val="32"/>
        </w:rPr>
        <w:t>签约日期：202</w:t>
      </w:r>
      <w:r>
        <w:rPr>
          <w:rFonts w:ascii="仿宋_GB2312" w:hAnsi="仿宋" w:eastAsia="仿宋_GB2312"/>
          <w:sz w:val="32"/>
          <w:szCs w:val="32"/>
        </w:rPr>
        <w:t>5</w:t>
      </w:r>
      <w:r>
        <w:rPr>
          <w:rFonts w:hint="eastAsia" w:ascii="仿宋_GB2312" w:hAnsi="仿宋" w:eastAsia="仿宋_GB2312"/>
          <w:sz w:val="32"/>
          <w:szCs w:val="32"/>
        </w:rPr>
        <w:t>年 月 日  签约地点：杭州市</w:t>
      </w:r>
    </w:p>
    <w:p w14:paraId="06AD2B6C">
      <w:pPr>
        <w:spacing w:line="360" w:lineRule="auto"/>
        <w:ind w:firstLine="411" w:firstLineChars="196"/>
        <w:jc w:val="center"/>
        <w:rPr>
          <w:rFonts w:hint="eastAsia" w:ascii="宋体" w:hAnsi="宋体" w:eastAsia="宋体" w:cs="宋体"/>
          <w:b/>
          <w:bCs/>
          <w:sz w:val="32"/>
          <w:szCs w:val="32"/>
        </w:rPr>
      </w:pPr>
      <w:r>
        <w:br w:type="page"/>
      </w:r>
      <w:r>
        <w:rPr>
          <w:rFonts w:hint="eastAsia" w:ascii="宋体" w:hAnsi="宋体" w:eastAsia="宋体" w:cs="宋体"/>
          <w:b/>
          <w:bCs/>
          <w:sz w:val="32"/>
          <w:szCs w:val="32"/>
        </w:rPr>
        <w:t>三墩北邻里中心1号楼4-10层房屋及地下83个车位</w:t>
      </w:r>
    </w:p>
    <w:p w14:paraId="158E2C05">
      <w:pPr>
        <w:spacing w:line="360" w:lineRule="auto"/>
        <w:ind w:firstLine="630" w:firstLineChars="196"/>
        <w:jc w:val="center"/>
        <w:rPr>
          <w:rFonts w:hint="eastAsia" w:ascii="宋体" w:hAnsi="宋体" w:eastAsia="宋体" w:cs="宋体"/>
          <w:b/>
          <w:bCs/>
          <w:sz w:val="24"/>
          <w:szCs w:val="24"/>
        </w:rPr>
      </w:pPr>
      <w:r>
        <w:rPr>
          <w:rFonts w:hint="eastAsia" w:ascii="宋体" w:hAnsi="宋体" w:eastAsia="宋体" w:cs="宋体"/>
          <w:b/>
          <w:bCs/>
          <w:sz w:val="32"/>
          <w:szCs w:val="32"/>
        </w:rPr>
        <w:t>租赁合同</w:t>
      </w:r>
    </w:p>
    <w:p w14:paraId="0A3B6ED9">
      <w:pPr>
        <w:adjustRightInd w:val="0"/>
        <w:snapToGrid w:val="0"/>
        <w:spacing w:line="360" w:lineRule="auto"/>
        <w:ind w:firstLine="3120" w:firstLineChars="1300"/>
        <w:jc w:val="right"/>
        <w:rPr>
          <w:rFonts w:hint="eastAsia" w:ascii="宋体" w:hAnsi="宋体" w:eastAsia="宋体" w:cs="宋体"/>
          <w:color w:val="000000"/>
          <w:sz w:val="24"/>
          <w:szCs w:val="24"/>
        </w:rPr>
      </w:pPr>
    </w:p>
    <w:p w14:paraId="251822B2">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甲方（出租人）： 杭州市城市土地发展有限公司</w:t>
      </w:r>
    </w:p>
    <w:p w14:paraId="29F7D26B">
      <w:pPr>
        <w:adjustRightInd w:val="0"/>
        <w:snapToGrid w:val="0"/>
        <w:spacing w:line="360" w:lineRule="auto"/>
        <w:rPr>
          <w:rFonts w:hint="eastAsia" w:ascii="宋体" w:hAnsi="宋体" w:eastAsia="宋体" w:cs="宋体"/>
          <w:color w:val="000000"/>
          <w:sz w:val="24"/>
          <w:szCs w:val="24"/>
        </w:rPr>
      </w:pPr>
    </w:p>
    <w:p w14:paraId="23501EDA">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sz w:val="24"/>
          <w:szCs w:val="24"/>
        </w:rPr>
        <w:t xml:space="preserve">乙方（承租人）： </w:t>
      </w:r>
    </w:p>
    <w:p w14:paraId="53BC4BB7">
      <w:pPr>
        <w:adjustRightInd w:val="0"/>
        <w:snapToGrid w:val="0"/>
        <w:spacing w:line="360" w:lineRule="auto"/>
        <w:rPr>
          <w:rFonts w:hint="eastAsia" w:ascii="宋体" w:hAnsi="宋体" w:eastAsia="宋体" w:cs="宋体"/>
          <w:color w:val="000000"/>
          <w:sz w:val="24"/>
          <w:szCs w:val="24"/>
        </w:rPr>
      </w:pPr>
    </w:p>
    <w:p w14:paraId="79B17FF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和浙江省、杭州市有关规定，甲、乙双方在平等、自愿、公平和诚实信用的基础上，经协商一致，就乙方承租甲方可依法出租的位于杭州市西湖区三墩镇草鞋桥弄三墩北邻里中心（立项名称：三墩北单元B-A/R22-04地块公共服务设施项目，以下简称“三墩北邻里中心”或“该项目”）1号楼4-10层房屋及地下83个车位相关事宜，签订本合同：</w:t>
      </w:r>
    </w:p>
    <w:p w14:paraId="298855A5">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第一条 租赁房屋情况</w:t>
      </w:r>
    </w:p>
    <w:p w14:paraId="6E4A66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1、杭州市交通投资集团有限公司已将其位于杭州市西湖区三墩镇草鞋桥弄三墩北邻里中心项目</w:t>
      </w:r>
      <w:r>
        <w:rPr>
          <w:rFonts w:hint="eastAsia" w:ascii="宋体" w:hAnsi="宋体" w:eastAsia="宋体" w:cs="宋体"/>
          <w:sz w:val="24"/>
          <w:szCs w:val="24"/>
          <w:u w:val="single"/>
        </w:rPr>
        <w:t>1号楼4-10层房屋及地下83个车位</w:t>
      </w:r>
      <w:r>
        <w:rPr>
          <w:rFonts w:hint="eastAsia" w:ascii="宋体" w:hAnsi="宋体" w:eastAsia="宋体" w:cs="宋体"/>
          <w:sz w:val="24"/>
          <w:szCs w:val="24"/>
        </w:rPr>
        <w:t>在内的房屋整体无偿划转给甲方，甲方同意将座落在三墩北邻里中心内的1号楼4-10层房屋及地下83个车位（以下简称“该房屋”或“租赁房屋”）出租给乙方。该房屋建筑面积为</w:t>
      </w:r>
      <w:r>
        <w:rPr>
          <w:rFonts w:hint="eastAsia" w:ascii="宋体" w:hAnsi="宋体" w:eastAsia="宋体" w:cs="宋体"/>
          <w:sz w:val="24"/>
          <w:szCs w:val="24"/>
          <w:u w:val="single"/>
        </w:rPr>
        <w:t>6876.16</w:t>
      </w:r>
      <w:r>
        <w:rPr>
          <w:rFonts w:hint="eastAsia" w:ascii="宋体" w:hAnsi="宋体" w:eastAsia="宋体" w:cs="宋体"/>
          <w:sz w:val="24"/>
          <w:szCs w:val="24"/>
        </w:rPr>
        <w:t>平方米、地下车位83个（该房屋及车位清单详见附件二）。该房屋规划用途为公共设施用地/非住宅，已取得房屋权属证书。</w:t>
      </w:r>
    </w:p>
    <w:p w14:paraId="01D0D37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该房屋规划经营业态为办公、体育、文化等社区配套服务，乙方不得经营当地工商、消防、卫生、环保等职能部门限制的业态，应遵守当地政府有关物业使用和物业管理的规定，并按甲方招租文件中要求的业态经营使用。</w:t>
      </w:r>
    </w:p>
    <w:p w14:paraId="434E1B8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4、乙方已实地查看了该房屋，对该房屋的用途，土地使用权的取得方式、该房屋位置等现状均已作了充分的了解，愿意以现状承租该房屋。乙方承租该房屋用于经营办公、体育、文化、养老等社区配套服务业态，不得引进P2P或容易引起群体性涉及维稳的业态；不得用于从事产生环境污染或扰民项目；不得从事易燃易爆物品的商业活动；不得用作危化品的储存仓库；不得使用、存放液化燃气瓶。从事的各项活动均符</w:t>
      </w:r>
      <w:r>
        <w:rPr>
          <w:rFonts w:hint="eastAsia" w:ascii="宋体" w:hAnsi="宋体" w:eastAsia="宋体" w:cs="宋体"/>
          <w:sz w:val="24"/>
          <w:szCs w:val="24"/>
        </w:rPr>
        <w:t>合国家法律、法规和有关规定，不得经营不符合环保</w:t>
      </w:r>
      <w:r>
        <w:rPr>
          <w:rFonts w:hint="eastAsia" w:ascii="宋体" w:hAnsi="宋体" w:eastAsia="宋体" w:cs="宋体"/>
          <w:sz w:val="24"/>
          <w:szCs w:val="24"/>
        </w:rPr>
        <w:t>要求、存在消防安全隐患的经营项目，不得经营有违社会道德的行业。否则视为乙方严重违约。</w:t>
      </w:r>
    </w:p>
    <w:p w14:paraId="26820D71">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第二条 租赁期限</w:t>
      </w:r>
    </w:p>
    <w:p w14:paraId="664A6FE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该房屋租赁期限为10年，租赁期自2025年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日至2035年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日止。</w:t>
      </w:r>
    </w:p>
    <w:p w14:paraId="50B3F88A">
      <w:pPr>
        <w:spacing w:line="360" w:lineRule="auto"/>
        <w:ind w:firstLine="472" w:firstLineChars="196"/>
        <w:rPr>
          <w:rFonts w:hint="eastAsia" w:ascii="宋体" w:hAnsi="宋体" w:eastAsia="宋体" w:cs="宋体"/>
          <w:b/>
          <w:bCs/>
          <w:sz w:val="24"/>
          <w:szCs w:val="24"/>
        </w:rPr>
      </w:pPr>
      <w:r>
        <w:rPr>
          <w:rFonts w:hint="eastAsia" w:ascii="宋体" w:hAnsi="宋体" w:eastAsia="宋体" w:cs="宋体"/>
          <w:b/>
          <w:bCs/>
          <w:sz w:val="24"/>
          <w:szCs w:val="24"/>
        </w:rPr>
        <w:t>第三条 房屋的租金</w:t>
      </w:r>
    </w:p>
    <w:p w14:paraId="23529722">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1、租赁年度：第一个租赁年度为2025年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日至2026年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日；自2025年起，每年的</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日至次年的</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日为一个租赁年度，依此类推，最后一个租赁年度为2034年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日至2035年</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rPr>
        <w:t>日。</w:t>
      </w:r>
    </w:p>
    <w:p w14:paraId="327CB464">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2、装修免租期：该房屋给予首年6个月的装修免租期</w:t>
      </w:r>
      <w:r>
        <w:rPr>
          <w:rFonts w:hint="eastAsia" w:ascii="宋体" w:hAnsi="宋体" w:eastAsia="宋体" w:cs="宋体"/>
          <w:sz w:val="24"/>
          <w:szCs w:val="24"/>
        </w:rPr>
        <w:t>，总租期期限不变，装修免租期租金在前二期支付租金中予以免除（</w:t>
      </w:r>
      <w:bookmarkStart w:id="1" w:name="_Hlk196470555"/>
      <w:r>
        <w:rPr>
          <w:rFonts w:hint="eastAsia" w:ascii="宋体" w:hAnsi="宋体" w:eastAsia="宋体" w:cs="宋体"/>
          <w:sz w:val="24"/>
          <w:szCs w:val="24"/>
        </w:rPr>
        <w:t>即第一期租金按首年4个月租金予以免除、第二期租金按首年2个月租金予以免除</w:t>
      </w:r>
      <w:bookmarkEnd w:id="1"/>
      <w:r>
        <w:rPr>
          <w:rFonts w:hint="eastAsia" w:ascii="宋体" w:hAnsi="宋体" w:eastAsia="宋体" w:cs="宋体"/>
          <w:sz w:val="24"/>
          <w:szCs w:val="24"/>
        </w:rPr>
        <w:t>）。但若因乙方原因导致租赁合同提前终止的，乙方须按租赁房屋实际使用时间补足相应装修免租期租金。具体为：乙方在3年内（含3年）提前退租的，须补足全部装修免租期租金；在3年（不含3年）至6年内（含6年）的提前退租的，须补足首年3个月装修免租期租金；6年（不含6年）以上提前退租的无需补缴装修免租期租金。装修免租期内的装修与经营实际发生的水、电、燃气、网络等各项费用由乙方承担。</w:t>
      </w:r>
    </w:p>
    <w:p w14:paraId="75212D47">
      <w:pPr>
        <w:pStyle w:val="30"/>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3、租金：本合同为总价合同，该房屋建筑面积若发生变化的，不影响本合同租金。该房屋的第一租赁年度租金金额（大写）【】，小写【】元，租赁期内总租金为（大写：</w:t>
      </w:r>
      <w:r>
        <w:rPr>
          <w:rFonts w:hint="eastAsia" w:ascii="宋体" w:hAnsi="宋体" w:eastAsia="宋体" w:cs="宋体"/>
          <w:sz w:val="24"/>
          <w:szCs w:val="24"/>
          <w:lang w:eastAsia="zh-CN"/>
        </w:rPr>
        <w:t>【】</w:t>
      </w:r>
      <w:r>
        <w:rPr>
          <w:rFonts w:hint="eastAsia" w:ascii="宋体" w:hAnsi="宋体" w:eastAsia="宋体" w:cs="宋体"/>
          <w:sz w:val="24"/>
          <w:szCs w:val="24"/>
        </w:rPr>
        <w:t>）（小写：</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r>
        <w:rPr>
          <w:rFonts w:hint="eastAsia" w:ascii="宋体" w:hAnsi="宋体" w:eastAsia="宋体" w:cs="宋体"/>
          <w:sz w:val="24"/>
          <w:szCs w:val="24"/>
        </w:rPr>
        <w:t>）（上述不含租金优惠期免租租金）不含税总租金为：【】元。该房屋租赁期内，租金从第二年</w:t>
      </w:r>
      <w:r>
        <w:rPr>
          <w:rFonts w:hint="eastAsia" w:ascii="宋体" w:hAnsi="宋体" w:eastAsia="宋体" w:cs="宋体"/>
          <w:color w:val="000000"/>
          <w:sz w:val="24"/>
          <w:szCs w:val="24"/>
          <w:u w:color="000000"/>
        </w:rPr>
        <w:t>起每年</w:t>
      </w:r>
      <w:r>
        <w:rPr>
          <w:rFonts w:hint="eastAsia" w:ascii="宋体" w:hAnsi="宋体" w:eastAsia="宋体" w:cs="宋体"/>
          <w:b/>
          <w:bCs/>
          <w:color w:val="000000"/>
          <w:sz w:val="24"/>
          <w:szCs w:val="24"/>
          <w:u w:color="000000"/>
        </w:rPr>
        <w:t>租金在上一年基础上（指不扣除相应租金优惠期的租金）</w:t>
      </w:r>
      <w:r>
        <w:rPr>
          <w:rFonts w:hint="eastAsia" w:ascii="宋体" w:hAnsi="宋体" w:eastAsia="宋体" w:cs="宋体"/>
          <w:color w:val="000000"/>
          <w:sz w:val="24"/>
          <w:szCs w:val="24"/>
          <w:u w:color="000000"/>
        </w:rPr>
        <w:t>递增</w:t>
      </w:r>
      <w:r>
        <w:rPr>
          <w:rFonts w:hint="eastAsia" w:ascii="宋体" w:hAnsi="宋体" w:eastAsia="宋体" w:cs="宋体"/>
          <w:sz w:val="24"/>
          <w:szCs w:val="24"/>
        </w:rPr>
        <w:t>1.5</w:t>
      </w:r>
      <w:r>
        <w:rPr>
          <w:rFonts w:hint="eastAsia" w:ascii="宋体" w:hAnsi="宋体" w:eastAsia="宋体" w:cs="宋体"/>
          <w:color w:val="000000"/>
          <w:sz w:val="24"/>
          <w:szCs w:val="24"/>
          <w:u w:color="000000"/>
        </w:rPr>
        <w:t>%直至租赁期满</w:t>
      </w:r>
      <w:r>
        <w:rPr>
          <w:rFonts w:hint="eastAsia" w:ascii="宋体" w:hAnsi="宋体" w:eastAsia="宋体" w:cs="宋体"/>
          <w:sz w:val="24"/>
          <w:szCs w:val="24"/>
        </w:rPr>
        <w:t>。（每个租赁年度的租金金额详见附件一“租金明细表”）。</w:t>
      </w:r>
    </w:p>
    <w:p w14:paraId="5375D34E">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该房屋租赁期内乙方装修与经营所实际发生的用水、用电、电信、网络、天燃气等相关费用（包括不仅限于）由乙方承担。</w:t>
      </w:r>
    </w:p>
    <w:p w14:paraId="417A35AB">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物业管理费：</w:t>
      </w:r>
      <w:bookmarkStart w:id="2" w:name="_Hlk196470687"/>
      <w:r>
        <w:rPr>
          <w:rFonts w:hint="eastAsia" w:ascii="宋体" w:hAnsi="宋体" w:eastAsia="宋体" w:cs="宋体"/>
          <w:sz w:val="24"/>
          <w:szCs w:val="24"/>
        </w:rPr>
        <w:t>前3年物业管理费由甲方承担，第4年起该项目物业管理费由乙方方与项目物业管理单位自行协商支付</w:t>
      </w:r>
      <w:bookmarkEnd w:id="2"/>
      <w:r>
        <w:rPr>
          <w:rFonts w:hint="eastAsia" w:ascii="宋体" w:hAnsi="宋体" w:eastAsia="宋体" w:cs="宋体"/>
          <w:sz w:val="24"/>
          <w:szCs w:val="24"/>
        </w:rPr>
        <w:t>。</w:t>
      </w:r>
      <w:r>
        <w:rPr>
          <w:rFonts w:hint="eastAsia" w:ascii="宋体" w:hAnsi="宋体" w:eastAsia="宋体" w:cs="宋体"/>
          <w:sz w:val="24"/>
          <w:szCs w:val="24"/>
          <w:lang w:val="zh-TW"/>
        </w:rPr>
        <w:t>乙方在</w:t>
      </w:r>
      <w:r>
        <w:rPr>
          <w:rFonts w:hint="eastAsia" w:ascii="宋体" w:hAnsi="宋体" w:eastAsia="宋体" w:cs="宋体"/>
          <w:sz w:val="24"/>
          <w:szCs w:val="24"/>
          <w:lang w:val="zh-TW" w:eastAsia="zh-TW"/>
        </w:rPr>
        <w:t>3</w:t>
      </w:r>
      <w:r>
        <w:rPr>
          <w:rFonts w:hint="eastAsia" w:ascii="宋体" w:hAnsi="宋体" w:eastAsia="宋体" w:cs="宋体"/>
          <w:sz w:val="24"/>
          <w:szCs w:val="24"/>
          <w:lang w:val="zh-TW"/>
        </w:rPr>
        <w:t>年内（含</w:t>
      </w:r>
      <w:r>
        <w:rPr>
          <w:rFonts w:hint="eastAsia" w:ascii="宋体" w:hAnsi="宋体" w:eastAsia="宋体" w:cs="宋体"/>
          <w:sz w:val="24"/>
          <w:szCs w:val="24"/>
          <w:lang w:val="zh-TW" w:eastAsia="zh-TW"/>
        </w:rPr>
        <w:t>3</w:t>
      </w:r>
      <w:r>
        <w:rPr>
          <w:rFonts w:hint="eastAsia" w:ascii="宋体" w:hAnsi="宋体" w:eastAsia="宋体" w:cs="宋体"/>
          <w:sz w:val="24"/>
          <w:szCs w:val="24"/>
          <w:lang w:val="zh-TW"/>
        </w:rPr>
        <w:t>年）提前退租的，须补足已产生的</w:t>
      </w:r>
      <w:r>
        <w:rPr>
          <w:rFonts w:hint="eastAsia" w:ascii="宋体" w:hAnsi="宋体" w:eastAsia="宋体" w:cs="宋体"/>
          <w:sz w:val="24"/>
          <w:szCs w:val="24"/>
        </w:rPr>
        <w:t>物业管理费</w:t>
      </w:r>
      <w:r>
        <w:rPr>
          <w:rFonts w:hint="eastAsia" w:ascii="宋体" w:hAnsi="宋体" w:eastAsia="宋体" w:cs="宋体"/>
          <w:sz w:val="24"/>
          <w:szCs w:val="24"/>
          <w:lang w:val="zh-TW"/>
        </w:rPr>
        <w:t>全部金额；在</w:t>
      </w:r>
      <w:r>
        <w:rPr>
          <w:rFonts w:hint="eastAsia" w:ascii="宋体" w:hAnsi="宋体" w:eastAsia="宋体" w:cs="宋体"/>
          <w:sz w:val="24"/>
          <w:szCs w:val="24"/>
          <w:lang w:val="zh-TW" w:eastAsia="zh-TW"/>
        </w:rPr>
        <w:t>3</w:t>
      </w:r>
      <w:r>
        <w:rPr>
          <w:rFonts w:hint="eastAsia" w:ascii="宋体" w:hAnsi="宋体" w:eastAsia="宋体" w:cs="宋体"/>
          <w:sz w:val="24"/>
          <w:szCs w:val="24"/>
          <w:lang w:val="zh-TW"/>
        </w:rPr>
        <w:t>年（不含</w:t>
      </w:r>
      <w:r>
        <w:rPr>
          <w:rFonts w:hint="eastAsia" w:ascii="宋体" w:hAnsi="宋体" w:eastAsia="宋体" w:cs="宋体"/>
          <w:sz w:val="24"/>
          <w:szCs w:val="24"/>
          <w:lang w:val="zh-TW" w:eastAsia="zh-TW"/>
        </w:rPr>
        <w:t>3</w:t>
      </w:r>
      <w:r>
        <w:rPr>
          <w:rFonts w:hint="eastAsia" w:ascii="宋体" w:hAnsi="宋体" w:eastAsia="宋体" w:cs="宋体"/>
          <w:sz w:val="24"/>
          <w:szCs w:val="24"/>
          <w:lang w:val="zh-TW"/>
        </w:rPr>
        <w:t>年）至</w:t>
      </w:r>
      <w:r>
        <w:rPr>
          <w:rFonts w:hint="eastAsia" w:ascii="宋体" w:hAnsi="宋体" w:eastAsia="宋体" w:cs="宋体"/>
          <w:sz w:val="24"/>
          <w:szCs w:val="24"/>
          <w:lang w:val="zh-TW" w:eastAsia="zh-TW"/>
        </w:rPr>
        <w:t>6</w:t>
      </w:r>
      <w:r>
        <w:rPr>
          <w:rFonts w:hint="eastAsia" w:ascii="宋体" w:hAnsi="宋体" w:eastAsia="宋体" w:cs="宋体"/>
          <w:sz w:val="24"/>
          <w:szCs w:val="24"/>
          <w:lang w:val="zh-TW"/>
        </w:rPr>
        <w:t>年内（含</w:t>
      </w:r>
      <w:r>
        <w:rPr>
          <w:rFonts w:hint="eastAsia" w:ascii="宋体" w:hAnsi="宋体" w:eastAsia="宋体" w:cs="宋体"/>
          <w:sz w:val="24"/>
          <w:szCs w:val="24"/>
          <w:lang w:val="zh-TW" w:eastAsia="zh-TW"/>
        </w:rPr>
        <w:t>6</w:t>
      </w:r>
      <w:r>
        <w:rPr>
          <w:rFonts w:hint="eastAsia" w:ascii="宋体" w:hAnsi="宋体" w:eastAsia="宋体" w:cs="宋体"/>
          <w:sz w:val="24"/>
          <w:szCs w:val="24"/>
          <w:lang w:val="zh-TW"/>
        </w:rPr>
        <w:t>年）的提前退租的，须补足1.5年物业管理费金额；6年（不含6年）以上提前退租的无需补缴物业管理费。需补物业管理费以甲方与物业管理单位签订的物</w:t>
      </w:r>
      <w:r>
        <w:rPr>
          <w:rFonts w:hint="eastAsia" w:ascii="宋体" w:hAnsi="宋体" w:eastAsia="宋体" w:cs="宋体"/>
          <w:sz w:val="24"/>
          <w:szCs w:val="24"/>
          <w:lang w:val="zh-TW"/>
        </w:rPr>
        <w:t>业协议金额为准。</w:t>
      </w:r>
    </w:p>
    <w:p w14:paraId="6A383944">
      <w:pPr>
        <w:pStyle w:val="30"/>
        <w:numPr>
          <w:ilvl w:val="0"/>
          <w:numId w:val="1"/>
        </w:numPr>
        <w:spacing w:line="360" w:lineRule="auto"/>
        <w:ind w:firstLine="560"/>
        <w:jc w:val="left"/>
        <w:rPr>
          <w:rFonts w:hint="eastAsia" w:ascii="宋体" w:hAnsi="宋体" w:eastAsia="宋体" w:cs="宋体"/>
          <w:sz w:val="24"/>
          <w:szCs w:val="24"/>
        </w:rPr>
      </w:pPr>
      <w:r>
        <w:rPr>
          <w:rFonts w:hint="eastAsia" w:ascii="宋体" w:hAnsi="宋体" w:eastAsia="宋体" w:cs="宋体"/>
          <w:sz w:val="24"/>
          <w:szCs w:val="24"/>
        </w:rPr>
        <w:t>租金由甲方收取，并由甲方开具发票。</w:t>
      </w:r>
    </w:p>
    <w:p w14:paraId="09F9CF0E">
      <w:pPr>
        <w:pStyle w:val="30"/>
        <w:numPr>
          <w:numId w:val="0"/>
        </w:num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第四条 租金的支付方式</w:t>
      </w:r>
    </w:p>
    <w:p w14:paraId="4F890E66">
      <w:pPr>
        <w:pStyle w:val="30"/>
        <w:numPr>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租金支付方式：租金按半年为一期支付。从第二期起，每期租金支付时间为上期租金到期前1个月支付。首期租金由甲方与乙方签订《房屋租赁合同》之日起7个工作日内支付（若以汇款形式支付租金，核定支付时间以到账日期为准）。</w:t>
      </w:r>
    </w:p>
    <w:p w14:paraId="57FA2F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2、租金、履约保证金应支付至甲方以下账户：</w:t>
      </w:r>
    </w:p>
    <w:p w14:paraId="33F86B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账户名：</w:t>
      </w:r>
      <w:r>
        <w:rPr>
          <w:rFonts w:hint="eastAsia" w:ascii="宋体" w:hAnsi="宋体" w:eastAsia="宋体" w:cs="宋体"/>
          <w:color w:val="000000"/>
          <w:sz w:val="24"/>
          <w:szCs w:val="24"/>
          <w:u w:val="single"/>
        </w:rPr>
        <w:t>杭州市城市土地发展有限公司</w:t>
      </w:r>
    </w:p>
    <w:p w14:paraId="5C38C18F">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账  号：</w:t>
      </w:r>
      <w:r>
        <w:rPr>
          <w:rFonts w:hint="eastAsia" w:ascii="宋体" w:hAnsi="宋体" w:eastAsia="宋体" w:cs="宋体"/>
          <w:color w:val="000000"/>
          <w:sz w:val="24"/>
          <w:szCs w:val="24"/>
          <w:u w:val="single"/>
        </w:rPr>
        <w:t>1202020019900051588</w:t>
      </w:r>
    </w:p>
    <w:p w14:paraId="08667653">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开户行：</w:t>
      </w:r>
      <w:r>
        <w:rPr>
          <w:rFonts w:hint="eastAsia" w:ascii="宋体" w:hAnsi="宋体" w:eastAsia="宋体" w:cs="宋体"/>
          <w:kern w:val="0"/>
          <w:sz w:val="24"/>
          <w:szCs w:val="24"/>
          <w:u w:val="single"/>
          <w:lang w:val="en-US" w:eastAsia="zh-CN" w:bidi="ar-SA"/>
        </w:rPr>
        <w:t>中国工商银行杭州半山支行</w:t>
      </w:r>
    </w:p>
    <w:p w14:paraId="5DD60CCA">
      <w:pPr>
        <w:numPr>
          <w:ilvl w:val="0"/>
          <w:numId w:val="2"/>
        </w:numPr>
        <w:shd w:val="clear" w:color="2F3615" w:fill="auto"/>
        <w:autoSpaceDN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租金发票由甲方向乙方单位开具，履约保证金由甲方向乙方开具收据。</w:t>
      </w:r>
    </w:p>
    <w:p w14:paraId="1CA72C06">
      <w:pPr>
        <w:pStyle w:val="30"/>
        <w:numPr>
          <w:ilvl w:val="0"/>
          <w:numId w:val="0"/>
        </w:numPr>
        <w:spacing w:line="360" w:lineRule="auto"/>
        <w:ind w:firstLine="482" w:firstLineChars="200"/>
        <w:jc w:val="left"/>
        <w:rPr>
          <w:rFonts w:hint="default" w:ascii="宋体" w:hAnsi="宋体" w:eastAsia="宋体" w:cs="宋体"/>
          <w:kern w:val="0"/>
          <w:sz w:val="24"/>
          <w:szCs w:val="24"/>
          <w:lang w:val="en-US" w:eastAsia="zh-CN" w:bidi="ar-SA"/>
        </w:rPr>
      </w:pPr>
      <w:r>
        <w:rPr>
          <w:rFonts w:hint="eastAsia" w:ascii="宋体" w:hAnsi="宋体" w:eastAsia="宋体" w:cs="宋体"/>
          <w:b/>
          <w:bCs/>
          <w:sz w:val="24"/>
          <w:szCs w:val="24"/>
        </w:rPr>
        <w:t>第</w:t>
      </w:r>
      <w:r>
        <w:rPr>
          <w:rFonts w:hint="eastAsia" w:ascii="宋体" w:hAnsi="宋体" w:cs="宋体"/>
          <w:b/>
          <w:bCs/>
          <w:sz w:val="24"/>
          <w:szCs w:val="24"/>
          <w:lang w:val="en-US" w:eastAsia="zh-CN"/>
        </w:rPr>
        <w:t>五</w:t>
      </w:r>
      <w:r>
        <w:rPr>
          <w:rFonts w:hint="eastAsia" w:ascii="宋体" w:hAnsi="宋体" w:eastAsia="宋体" w:cs="宋体"/>
          <w:b/>
          <w:bCs/>
          <w:sz w:val="24"/>
          <w:szCs w:val="24"/>
        </w:rPr>
        <w:t xml:space="preserve">条 </w:t>
      </w:r>
      <w:r>
        <w:rPr>
          <w:rFonts w:hint="eastAsia" w:ascii="宋体" w:hAnsi="宋体" w:cs="宋体"/>
          <w:b/>
          <w:bCs/>
          <w:sz w:val="24"/>
          <w:szCs w:val="24"/>
          <w:lang w:val="en-US" w:eastAsia="zh-CN"/>
        </w:rPr>
        <w:t>履约保证金</w:t>
      </w:r>
    </w:p>
    <w:p w14:paraId="7E24F30A">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确保该房屋及其附属设施安全完好，租赁期内相关费用的如期结算，以及租赁期内乙方严格遵守该房屋安全管理责任，乙方应在签订本合同后7个工作日内缴纳履约保证金（大写）【】（￥【】元）（以下简称“保证金”）作为履行本合同以及本合同附件《房屋使用安全协议》项下乙方的责任、义务的担保，保证金在本合同签订前一次性付清。</w:t>
      </w:r>
    </w:p>
    <w:p w14:paraId="2BBEBA1C">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2、因乙方违反本合同的约定而产生的欠付款项、违约金、损害赔偿金及其他相关费用，甲方可在保证金中扣除。</w:t>
      </w:r>
    </w:p>
    <w:p w14:paraId="4EF683DC">
      <w:pPr>
        <w:pStyle w:val="6"/>
        <w:adjustRightIn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3、在租赁期内，如乙方以存在安全隐患的方式使用所承租的该房屋，违反本合同第九条及本合同附件《房屋使用安全协议》约定的安全义务的，乙方应及时整改。</w:t>
      </w:r>
    </w:p>
    <w:p w14:paraId="622D77E5">
      <w:pPr>
        <w:pStyle w:val="6"/>
        <w:adjustRightIn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乙方在承租该房屋期间，若发生有下列任一情形的，甲方除可以根据本合同规定提前终止或解除合同及主张其它权利外，还可以从保证金中直接扣取等额于乙方应偿付之款项（包括但不限于乙方欠缴的租金、综合管理服务费、能耗费、水电费、卫生清运费、通讯费、消防器材等费用，以及应赔偿给甲方及其他受益人的赔偿金、补偿金、违约金等），但甲方应在扣取前通知乙</w:t>
      </w:r>
      <w:r>
        <w:rPr>
          <w:rFonts w:hint="eastAsia" w:ascii="宋体" w:hAnsi="宋体" w:eastAsia="宋体" w:cs="宋体"/>
          <w:sz w:val="24"/>
          <w:szCs w:val="24"/>
        </w:rPr>
        <w:t>方并说明扣取</w:t>
      </w:r>
      <w:r>
        <w:rPr>
          <w:rFonts w:hint="eastAsia" w:ascii="宋体" w:hAnsi="宋体" w:eastAsia="宋体" w:cs="宋体"/>
          <w:sz w:val="24"/>
          <w:szCs w:val="24"/>
        </w:rPr>
        <w:t>的金额和理由：</w:t>
      </w:r>
    </w:p>
    <w:p w14:paraId="055D7864">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（1）不按时支付租金的；</w:t>
      </w:r>
    </w:p>
    <w:p w14:paraId="6DE052E4">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（2）不按时支付综合管理服务费，以及水、电、天燃气等各项费用及公共事业项目费用的；</w:t>
      </w:r>
    </w:p>
    <w:p w14:paraId="51D8E85E">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（3）不按时缴纳违约金的；</w:t>
      </w:r>
    </w:p>
    <w:p w14:paraId="09573B96">
      <w:pPr>
        <w:pStyle w:val="4"/>
        <w:adjustRightInd w:val="0"/>
        <w:snapToGrid w:val="0"/>
        <w:spacing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（4）甲方发送三次以上整改通知书，乙方仍未整改或整改不彻底的，由甲方出面强制整改所产生的费用；</w:t>
      </w:r>
    </w:p>
    <w:p w14:paraId="7295B05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（5）造成甲方及其他第三人人身、财产损失未能及时赔偿或甲方先行垫付相关款项的；</w:t>
      </w:r>
    </w:p>
    <w:p w14:paraId="739C264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（6）乙方违反本合同其他条款，未按时偿付相关费用的。</w:t>
      </w:r>
    </w:p>
    <w:p w14:paraId="4875055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5、发生前述任一原因的保证金扣款的，乙方应在甲方扣款后七个工作日内补足保证金，否则每日按应补缴金额的万分之三支付违约金。</w:t>
      </w:r>
    </w:p>
    <w:p w14:paraId="4C5B10E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租赁期满，乙方按本合同相关约定办理退租手续，并变更或注销承租该房屋的工商登记，同时付清所有应付费用，按本合同约定向甲方交还该房屋并经甲方验收合格一个月后，甲方无息退还保证金余额（若有）。</w:t>
      </w:r>
    </w:p>
    <w:p w14:paraId="5CA46B7F">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房屋的交接</w:t>
      </w:r>
    </w:p>
    <w:p w14:paraId="2ABCD1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原则上在合同签订之日起10个工作日内对该房屋进行验收交接。如果甲方因故延迟向乙方交接该房屋，租赁起始日期相应顺延。若因乙方原因导致未按本条约定进行交接的，租赁起始日仍按本合同第二条约定的租赁起始日计算。</w:t>
      </w:r>
    </w:p>
    <w:p w14:paraId="28BC6C0B">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 xml:space="preserve">第七条 </w:t>
      </w:r>
      <w:r>
        <w:rPr>
          <w:rFonts w:hint="eastAsia" w:ascii="宋体" w:hAnsi="宋体" w:eastAsia="宋体" w:cs="宋体"/>
          <w:b/>
          <w:bCs/>
          <w:sz w:val="24"/>
          <w:szCs w:val="24"/>
        </w:rPr>
        <w:t>房屋装修管理</w:t>
      </w:r>
    </w:p>
    <w:p w14:paraId="3E433D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装修施工图设计及装修工程由乙方负责，装修及设备设施投入费用由乙方承担。乙方对该房屋进行装修时，需在正式进场装修前5个工作日内，向甲方提交书面装修申请和相关图纸的方案进行审批，经甲方书面同意后方可执行。在完成装修方案备案或审批同意后，乙方方可进场装修。相关报批验收手续由乙方负责，甲方配合乙方。</w:t>
      </w:r>
    </w:p>
    <w:p w14:paraId="348B85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对该房屋的装修不得妨碍消防设备的使用或遮蔽有关的设施；不得擅自加大该房屋的供电容量，并应维护和保证电气装置使用安全，如需加大用电容量，则要报备甲方，征得甲方同意后可进行加大用电容量，后期乙方还需要与大楼其他租赁单位在用电容量上的分摊问题进行沟通，确保用电容量；不得随意改动室内公用设备：包括消防喷淋系统、监控系统等；不得擅自损坏或破坏房屋外立面，如需改动室内公用设备需向甲方报备，征得同意后才能改动；乙方装修产生之废料、垃圾，应及时清理装袋、妥善堆放并及时运走，以免影响周边环境。装修垃圾清运费由乙方自行负责交纳。</w:t>
      </w:r>
    </w:p>
    <w:p w14:paraId="679FB3D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其委托的装修单位应具有相应资质等级证书，且装修方案取得政府有关部门的批准或备案（包括装修消防审批手续）并承担由此产生的一切费用和责任。乙方装修完成后未经消防部门验收不得投入使用，消防审批通过文件提供甲方和物业服务单位备案。</w:t>
      </w:r>
    </w:p>
    <w:p w14:paraId="74C422A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对乙方装修方案的接受备案或同意和对装修施工的监督均不视为甲方对装修方案或装修行为需要承担任何责任，也不构成任何意义上的对乙方责任的减轻或免除。乙方应当独立承担全部的法律责任，包括但不限于自身的投入和费用，以及可能对建筑物、甲方或第三方造成的损害等。</w:t>
      </w:r>
    </w:p>
    <w:p w14:paraId="2371C30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5、甲方有权但没有义务对乙方的装修进行监督，如甲方发现乙方存在违反前述装修管理要求行为的，乙方应按照甲方要求及时整改。</w:t>
      </w:r>
    </w:p>
    <w:p w14:paraId="5E528D2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发生乙方未按报送之装修方案擅自实施装修，或方案实施过程中任意变更、发生损害房屋等违反前述管理要求情形的，甲方有权每次扣除20%的履约保证金，并要求乙方纠正其行为，除非乙方就此另行取得甲方书面同意。若发生乙方未经甲方书面同意擅自改动消防设施、设备，且拒不整改的，甲方有权罚没全部履约保证金。甲方亦有权可视情况委托第三方对乙方行为进行纠正，有关费用从乙方履约保证金中直接予以扣除，不足部分乙方在接到通知后7个工作日内补足，乙方确认不持异议。</w:t>
      </w:r>
    </w:p>
    <w:p w14:paraId="23791DA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乙方于本合同履行期间需重新装修或改变装修，仍应遵循本条的有关约定，提前30日向甲方报送方案。且乙方重新装修或改变装修可能导致的该房屋使用、经营暂停、投入增加等各项影响和费用均由乙方自行承担，乙方无权以此为由主张任何形式的二次装修期、租期延展、装修残值补偿、费用补助等。</w:t>
      </w:r>
    </w:p>
    <w:p w14:paraId="7B428747">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第八条 房屋修缮责任</w:t>
      </w:r>
    </w:p>
    <w:p w14:paraId="424CBB9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1、在租赁期限内，乙方应爱护并合理使用该租赁房屋及其附属设施。</w:t>
      </w:r>
    </w:p>
    <w:p w14:paraId="14C528A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2、在租赁期内，租赁区域内各项设施、设备、房屋等的日常维护和维修工作均由乙方负责。</w:t>
      </w:r>
    </w:p>
    <w:p w14:paraId="6AB5939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3、如因不可抗力或市政规划原因，导致该房屋损坏或造成乙方损失的，双方互不承担责任。</w:t>
      </w:r>
    </w:p>
    <w:p w14:paraId="52EBEA8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除第三方鉴定机构认定的房屋主体结构质量问题外，其他房屋或装修损坏，乙方负有修复或赔偿义务，甲方不承担任何责任。乙方应自负费用做好其修缮范围内的日常维护和检修工作。乙方不得以其修缮范围内的设备或房屋质量问题影响经营或使用为由，主张租金延付或任何形式的赔偿。</w:t>
      </w:r>
    </w:p>
    <w:p w14:paraId="3F916C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该房屋出现需维修的情况，乙方均应及时做出应急处理，并及时通知甲方。由修缮义务方负责进行修缮，但由于乙方未及时做出应急处理造成损失扩大部分，或怠于通知而导致该房屋损坏的，维修费用均由乙方承担。</w:t>
      </w:r>
    </w:p>
    <w:p w14:paraId="48EBFAB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6、因第三方原因导致该房屋、设施、设备损坏的，由第三方负责维修。如因此造成甲方或者乙方损失的，由甲方或者乙方向责任方或者负有义务一方追偿。</w:t>
      </w:r>
    </w:p>
    <w:p w14:paraId="1FFEAC0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在租赁期限内，该房屋出现在本合同约定甲方修缮范围的维修内容的，甲方在接到乙方书面通知后7个工作日内组织维修，但不影响该房屋起租日和租金优惠期的起算，乙方应按照约定的期限正常支付租金，否则构成违约。但因甲方维修影响乙方正常使用房屋的，乙方可向甲方另行提出损失赔偿的要求。</w:t>
      </w:r>
    </w:p>
    <w:p w14:paraId="0819749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甲方在进行房屋修缮时，在通知乙方的情况下，甲方有权指派工作人员进入该房屋进行检查、维修工作，乙方应积极配合。紧急情况下，甲方有权随时关闭设施、设备，为抢修设施设备，甲方可不经通知进入该房屋进行维修。</w:t>
      </w:r>
    </w:p>
    <w:p w14:paraId="539975C1">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 房屋安全责任</w:t>
      </w:r>
    </w:p>
    <w:p w14:paraId="41474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不得在该房屋内生产、储存、经营易燃易爆和有害有毒危险品，不得出现违规使用电气、燃气设备或擅自改变该房屋安全结构、设备等重大安全隐患行为。一经发现拒不整改的，视为根本违约，甲方有权单方解除本合同并追索乙方违约、赔偿责任。</w:t>
      </w:r>
    </w:p>
    <w:p w14:paraId="662953E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遵守消防安全管理规定，落实物业消防安全制度，确立消防安全责任人和管理人，明确安全管理职责，定期开展消防教育宣传培训。乙方有义务与甲方签订《房屋使用安全协议》，并按相关要求落实安全经营主体责任。</w:t>
      </w:r>
    </w:p>
    <w:p w14:paraId="5A85D18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3、乙方应按消防管理规定配备有效的消防设备，确保消防疏散通道畅通无阻挡，各类消防灭火设备设施检查记录完整。</w:t>
      </w:r>
    </w:p>
    <w:p w14:paraId="5AC378B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就双方对安全责任约定，甲方有权监督但不负有义务，乙方自接收该房屋后独立承担该房屋的全部安全责任。如该房屋在使用期间发生安全事故，乙方应立即采取有效措施，降低损失、消除影响，并独立承担全部的救治修缮费用。如因此给甲方造成不利影响或损失的，由乙方承担全部赔偿责任。且甲方有权单方解除本合同并向追索乙方。</w:t>
      </w:r>
    </w:p>
    <w:p w14:paraId="17F9D99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经三次以上书面督促仍未进行整改或整改不到位的，甲方有权扣除保证金的20%，或者选择代为整改并将发生的费用从保证金中直接扣回。如乙方在租赁期内发生安全事故的（包括人、物损失），视事故损失情况，甲方有权扣除直至全部扣完保证金。</w:t>
      </w:r>
    </w:p>
    <w:p w14:paraId="671C8383">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第十条 甲方权利和责任</w:t>
      </w:r>
    </w:p>
    <w:p w14:paraId="4BEE31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保证该房屋的主体结构质量安全。如因乙方擅自破坏房屋结构或使用不当造成该房屋或设施损坏的，乙方应立即负责修复及予以经济赔偿。乙方在使用过程中，由于管理不当或违规使用而造成该房屋损失的，应由乙方负责赔偿。</w:t>
      </w:r>
    </w:p>
    <w:p w14:paraId="0BF7619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2、甲方保证有权出租该房屋，在租赁期限内，乙方自行办理开业所需的相关审批手续及承担相关费用，甲方应给予配合支持。</w:t>
      </w:r>
    </w:p>
    <w:p w14:paraId="2C67218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3、由于甲方出租行为产生租金收入发生的有关税费，均由甲方承担。</w:t>
      </w:r>
    </w:p>
    <w:p w14:paraId="0B7E7C8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4、租赁期内，甲方及甲方委托的物业服务单位有权定期查看该房屋设施及安全问题。</w:t>
      </w:r>
    </w:p>
    <w:p w14:paraId="0E7B44B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同意并确认，在租赁期间,甲方有权不经乙方同意将该房屋抵押、出售或转让给第三方,并由相应受让人或其他方承继甲方在本合同项下的全部权利义务，继续履行本合同。如需要乙方配合的，乙方应当无条件予以配合。</w:t>
      </w:r>
    </w:p>
    <w:p w14:paraId="2A090B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租赁期间，甲方有权对该房屋或者该项目所在的整体物业、土地使用权设定抵押，或将该房屋全部或部分出售或转让给其他第三方，但应提前二个月通知乙方。乙方在此明确声明，其放弃基于本合同及任何法律授予乙方的购买该房屋的优先权利及其它类似权利。</w:t>
      </w:r>
    </w:p>
    <w:p w14:paraId="3813F58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7、甲方和/或该房屋的产权人有权将出租给乙方的房屋</w:t>
      </w:r>
      <w:r>
        <w:rPr>
          <w:rFonts w:hint="eastAsia" w:ascii="宋体" w:hAnsi="宋体" w:eastAsia="宋体" w:cs="宋体"/>
          <w:sz w:val="24"/>
          <w:szCs w:val="24"/>
        </w:rPr>
        <w:t>及土地进行抵押，若届时银行要求乙方放弃优先购买权或其他权利、出具文件配合该产权人完成抵押的，乙方</w:t>
      </w:r>
      <w:r>
        <w:rPr>
          <w:rFonts w:hint="eastAsia" w:ascii="宋体" w:hAnsi="宋体" w:eastAsia="宋体" w:cs="宋体"/>
          <w:sz w:val="24"/>
          <w:szCs w:val="24"/>
        </w:rPr>
        <w:t>应予同意并按照该产权人或银行的要求签署相关文件，但甲方和/或产权人应保证乙方利益不因此受到损害。</w:t>
      </w:r>
    </w:p>
    <w:p w14:paraId="70BFFC4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甲方和/或该房屋的产权人有权就对乙方享有的租金收益权或应收账款债权全部或部分进行质押、或出售给一家或多家实体，或者利用对乙方享有的租金收益权或应收账款债权进行融资。</w:t>
      </w:r>
    </w:p>
    <w:p w14:paraId="103E631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甲方和/或该房屋的产权人行使上述权利时，无须通知乙方且无须另行取得乙方同意。</w:t>
      </w:r>
    </w:p>
    <w:p w14:paraId="446C832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8、如果乙方解散时乙方合法签订并生效的该房屋的转租协议尚未履行完毕的，由甲方和/或该房屋的产权人作为出租人继续履行未履行完毕的转租协议。</w:t>
      </w:r>
    </w:p>
    <w:p w14:paraId="11F1786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乙方保证与次承租人签订的转租协议中应包含上述内容。</w:t>
      </w:r>
    </w:p>
    <w:p w14:paraId="77A477C1">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第十一条 乙方权利和责任</w:t>
      </w:r>
    </w:p>
    <w:p w14:paraId="7B9328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按照本合同约定的租赁用途使用该房屋，未经甲方同意及有关政府部门批准，乙方不得将该房屋用于其它用途。乙方不得引进P2P或容易引起群体性涉及维稳的业态；不得用于从事产生环境污染或扰民项目；不得从事易燃易爆物品的商业活动；不得用作危化品的储存仓库；不得使用、存放液化燃气瓶；不得经营不符合环保要求、存在消防安全隐患的经营项目；不得经营有违社会道德的行业。也不得利用或容许他人利用该房屋做任何不利于甲方或相邻房屋的行为。如因乙方或乙方员工的行为造成政府相关部门的处罚、第三方投诉等均由乙方自行承担全部责任。且乙方应及时、有效、妥善处理，如由此给甲方造成经济或名誉等损失的，除由乙方赔偿外，甲方还有权选择单方解除合同，没收履约保证金，收回该房屋。且乙方确认，作为租赁期间该房屋的使用人和管理人，前述可能导致处罚或投诉的行为，无论是否直接由乙方或乙方人员导致的，只要发生在乙方租赁期间、在乙方的承租范围之内，均将视同乙方违约予以处理。</w:t>
      </w:r>
    </w:p>
    <w:p w14:paraId="578EBDC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该房屋乙方承租后，甲方不再为其改变条件进行投入。乙方承租后，如果要改变房屋设施中的电容、电气消防系统、消防、监控等设施设备的，包括对该等设施设备进行更新、改造的，必须提供政府相关职能部门审核意见资料，并向甲方提交装修、改造审批申请，得到甲方的书面同意后，方可进行装修、改造。乙方对目前能否运营状况已充分了解，同意甲方不再为该房屋及其设施设备的运营进行任何投入。</w:t>
      </w:r>
    </w:p>
    <w:p w14:paraId="1A13D43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3、在租赁期间内的该房屋内部的全部设备设施的维护、修理、保养、更新、改造均由乙方实施，与此相关的费用也均由乙方承担。</w:t>
      </w:r>
    </w:p>
    <w:p w14:paraId="05C0EFB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4、乙方不得将各种杂物、废弃物、货物等物品倒入水池或放置、占用、堵塞消防通道、安全出口走道、楼梯间等公共部位和区域。乙方不得挪用、毁坏消防器材及设备，不得将消防水用挪作他用。</w:t>
      </w:r>
    </w:p>
    <w:p w14:paraId="55B805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5、乙方必须无条件遵守甲方、物业服务单位各项规范，并签订相关管理守则(包括但不限于房屋安全协议、装修协议等)，否则甲方有权委托物业服务单位对乙方采取停水停电处理。</w:t>
      </w:r>
    </w:p>
    <w:p w14:paraId="0FA9CD2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6、乙方应承担该房屋租赁期间的防火安全、门前三包、综合治理及安全保卫等工作，应执行当地有关部门规定并承担全部责任和服从甲方监督检查。</w:t>
      </w:r>
    </w:p>
    <w:p w14:paraId="00304F4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保证在该房屋内使用的电气产品应当符合法律法规和现行相关标准的要求，经法定机构检验或认证合格。否则，因此产生的一切责任及后果均由乙方自行承担，因此给甲方造成损失的，乙方应承担全部赔偿责任。</w:t>
      </w:r>
    </w:p>
    <w:p w14:paraId="585DFEC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8、乙方擅自改变该房屋结构或在租用时因使用不当造成该房屋或设施损坏的，乙方应立即负责修复并承担由此引起的一切经济损失。乙方添加的设施设备及装修，由乙方自行负责。</w:t>
      </w:r>
    </w:p>
    <w:p w14:paraId="2904FE8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在该房屋租赁期间，乙方应按时向甲方支付水费、电费、综合管理服务费等费用，并由乙方承担延期付款的违约责任。在租赁期间，如果发生政府有关部门征收本合同未列出项目但与使用该房屋有关的费用，均由乙方支付。</w:t>
      </w:r>
    </w:p>
    <w:p w14:paraId="3FA5532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在该房屋内开展及经营其业务前，应向政府主管部门取得所有必要的执照、批准或许可证等，自行办理相关的许可证及相关登记文件，承担由此产生的费用。乙方承诺对该房屋的用途和租赁房屋现状、设施及房屋环境有充分了解。如因租赁房屋证载的（规划）用途与租赁用途不一致而导致未取得前述执照、批准或许可证的，所有损失由乙方自行承担，甲方不承担任何责任。乙方应确保该执照、批准或许可证在租赁期限内完全有效，同时在各方面均符合该执照、批准或许可证的规定。并且，乙方在该租赁房屋的经营活动不得违反有关法律、法规，必须确保其经营的合法性，否则，乙方将承担因其不正当经营所造成的一切责任和后果。</w:t>
      </w:r>
    </w:p>
    <w:p w14:paraId="44744F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11、乙方应自行办理经营许可等开业前的一切行政审批手续，因未能办理相关</w:t>
      </w:r>
      <w:r>
        <w:rPr>
          <w:rFonts w:hint="eastAsia" w:ascii="宋体" w:hAnsi="宋体" w:eastAsia="宋体" w:cs="宋体"/>
          <w:sz w:val="24"/>
          <w:szCs w:val="24"/>
        </w:rPr>
        <w:t>行政审批手续造成的责任及经济损失由乙方自行承担（因租赁房屋相关证件不齐全导致甲方无法办理的除外）；如在办理过程中，需要甲方提供现有资料的，甲方予以协助。乙方应按照该等执照、批准证等证书或许可证的规定进行合法合规经营。</w:t>
      </w:r>
    </w:p>
    <w:p w14:paraId="3D0B2795">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第十二条 转租约定</w:t>
      </w:r>
    </w:p>
    <w:p w14:paraId="6FFA4D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不得将该房屋整体对外转租。该房屋由乙方招商、运营，甲方同意乙方基于对该房屋进行招商、运营的目的进行分割转租，甲方同意乙方转租给次承租人的，须由甲方出具书面的《同意转租协议书》。乙方引进次承租人需经甲方审核同意（需符合项目整体业态规划方向），次承租人不得再次转租，同时乙方应将与招商、运营引进单位（次承租人）签订的合同及其合法经营信息、经营范围等相关材料报甲方备案，否则视为乙方严重违约。</w:t>
      </w:r>
    </w:p>
    <w:p w14:paraId="706DC832">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第十三条 保险</w:t>
      </w:r>
    </w:p>
    <w:p w14:paraId="3EA624D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、除本合同另有规定外，甲、乙双方可就租赁物业各自所有的财产向中国境内保险公司投保财产险和人身险等险种。</w:t>
      </w:r>
    </w:p>
    <w:p w14:paraId="06E1387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、如因自然灾害、盗窃、火灾等不可抗力原因造成甲乙双方财产及第三人财产与人身损害的，由双方各自承担责任，并由双方自行向保险公司或有关责任人索赔。</w:t>
      </w:r>
    </w:p>
    <w:p w14:paraId="0940ACB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、乙方在进行该物业装修工程前，应按甲方或物业服务公司规定向国内保险公司投保财产险和人身险等险种，并依照保险公司和物业服务公司的有关规定进行施工。</w:t>
      </w:r>
    </w:p>
    <w:p w14:paraId="112F9146">
      <w:pPr>
        <w:adjustRightInd w:val="0"/>
        <w:snapToGrid w:val="0"/>
        <w:spacing w:line="360" w:lineRule="auto"/>
        <w:ind w:firstLine="487" w:firstLineChars="202"/>
        <w:rPr>
          <w:rFonts w:hint="eastAsia" w:ascii="宋体" w:hAnsi="宋体" w:eastAsia="宋体" w:cs="宋体"/>
          <w:b/>
          <w:bCs/>
          <w:sz w:val="24"/>
          <w:szCs w:val="24"/>
        </w:rPr>
      </w:pPr>
      <w:r>
        <w:rPr>
          <w:rFonts w:hint="eastAsia" w:ascii="宋体" w:hAnsi="宋体" w:eastAsia="宋体" w:cs="宋体"/>
          <w:b/>
          <w:sz w:val="24"/>
          <w:szCs w:val="24"/>
        </w:rPr>
        <w:t>第十四条变更和解除本合同的条件</w:t>
      </w:r>
    </w:p>
    <w:p w14:paraId="68E4F043">
      <w:pPr>
        <w:adjustRightInd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在租赁期限内，甲乙双方在协商一致并签订相应书面协议的情形下可变更或解除本合同。变更或解除本合同的，要求变更或解除合同的一方应主动向另一方提出，若因变更或解除合同使一方遭受损失的，应由要求变更或解除合同一方负责赔偿。</w:t>
      </w:r>
    </w:p>
    <w:p w14:paraId="31E21F45">
      <w:pPr>
        <w:adjustRightInd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2、发生下列情形之一的，本合同自行终止，双方互不承担责任。</w:t>
      </w:r>
    </w:p>
    <w:p w14:paraId="4AD667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1）租赁期限届满，本合同即行终止。</w:t>
      </w:r>
    </w:p>
    <w:p w14:paraId="1E4392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2）因不可抗力致使该房屋及其附属设施损坏，导致本合同不能继续履行的；</w:t>
      </w:r>
    </w:p>
    <w:p w14:paraId="2163EE8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3）在租赁期间，该房屋及所属土地因社会公共利益或城市建设需要被政府依法征收的，或出现因法律、法规禁止的非甲方责任的其他情况。</w:t>
      </w:r>
    </w:p>
    <w:p w14:paraId="11C1CCDE">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第十五条 乙方的违约责任</w:t>
      </w:r>
    </w:p>
    <w:p w14:paraId="52DD19B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1、乙方逾期缴纳租金、综合管理服务费、天燃气费、水电费等费用的，逾期7个工作日内全额支付的，免违约金；逾期超过7个工作日，乙方每逾期一日，应另行支付应付未付款项每日万分之三的违约金。</w:t>
      </w:r>
    </w:p>
    <w:p w14:paraId="0731779A">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本合同项下的“当年日租金”是指当年（租赁年度）年租金除以365日。</w:t>
      </w:r>
    </w:p>
    <w:p w14:paraId="0FC5FFC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租赁期内，乙方有下列行为之一的，甲方有权单方解除合同，并收回该房屋另行出租，履约保证金不予退还，乙方应支付相当于当年租期3个月的租金作为赔偿金，赔偿金不足以抵付甲方损失的，乙方应予以赔偿。因乙方违约的，乙方应当赔偿甲方包括诉讼费、律师费等在内的全部损失。甲方选择继续履行本合同的，甲方有权以书面方式要求乙方纠正违约行为，乙方未在10日内予以纠正的，甲方有权在提前三天书面通知的情况下中断该房屋的公用事业供应（例如水、电供应），由此造成的损失由乙方自行承担：</w:t>
      </w:r>
    </w:p>
    <w:p w14:paraId="39F31F6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（1）擅自改变房屋规划用途，将房屋用作未经相关职能部门批准的经营用途或利用该房屋进行违法违章及犯罪活动的；</w:t>
      </w:r>
    </w:p>
    <w:p w14:paraId="3F09B57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（2）未经甲方同意，擅自拆改变动房屋结构、水电线路及消防管道设施等，或损坏房屋，且经甲方书面通知，在甲方书面通知限定时间内仍未纠正修复的；</w:t>
      </w:r>
    </w:p>
    <w:p w14:paraId="7284B09C">
      <w:pPr>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（3）未经甲方书面同意转租或者以承包、联营、合作等方式转租该房屋或者将该房屋抵押、转让、转借他人或调换使用的；</w:t>
      </w:r>
    </w:p>
    <w:p w14:paraId="67784A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（4）在租赁期内未根据本合同约定时间足额支付租金、综合管理服务费、能耗费、水电费等费用累计超过30日的；</w:t>
      </w:r>
    </w:p>
    <w:p w14:paraId="0CE05D44">
      <w:pPr>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(5)乙方违反《房屋使用安全协议》约定内容，且经甲方书面通知，在甲方书面通知限定时间内仍未纠正的；</w:t>
      </w:r>
    </w:p>
    <w:p w14:paraId="1666BF64">
      <w:pPr>
        <w:adjustRightInd w:val="0"/>
        <w:snapToGrid w:val="0"/>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（6）乙方有其他违约行为，经甲方三次以上要求整改，乙方仍不整改或整改不彻底的。</w:t>
      </w:r>
    </w:p>
    <w:p w14:paraId="7EC90F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租赁期限内，乙方非因本合同自行终止约定的原因无故提前终止合同的，甲方有权结算乙方实际发生的费用，并要求乙方按照当年租期三个月的租金标准(如在第一年提前终止合同的,租金按成交价格计算)向甲方支付违约金。</w:t>
      </w:r>
    </w:p>
    <w:p w14:paraId="0275FF6D">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第十六条 甲方的违约责任</w:t>
      </w:r>
    </w:p>
    <w:p w14:paraId="03D4AEC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甲方如有以下情况之一的,乙方有权解除合同，造成乙方损失的，甲方应赔偿损失。</w:t>
      </w:r>
    </w:p>
    <w:p w14:paraId="1141A1ED">
      <w:pPr>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（1）因甲方原因该房屋部分或全部毁损、灭失，致使不能实现合同目的，但因不可抗力、意外事件或其他非甲方原因引起的毁损、灭失，乙方无权要求甲方赔偿;</w:t>
      </w:r>
    </w:p>
    <w:p w14:paraId="1DEDA9D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（2）甲方无故超过本合同约定的房屋验收交接日60日未交付该房屋的。</w:t>
      </w:r>
    </w:p>
    <w:p w14:paraId="4199D398">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第十七条 租赁物业的返还及状态</w:t>
      </w:r>
    </w:p>
    <w:p w14:paraId="455743AD">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1、租赁期满或本合同提前终止时，乙方应在租赁期满或本合同提前终止后10日内，将租赁房屋以甲方认可的装修状态交还给甲方，由此发生的费用由乙方承担。</w:t>
      </w:r>
    </w:p>
    <w:p w14:paraId="3FCC10B9">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租赁期满或本合同因乙方原因提前终止或解除的，已形成添附及未形成添附的装饰装修物均无偿归甲方所有，但甲方也有权要求乙方恢复原状并承担相关费用。本合同因甲方原因提前终止或解除的，甲方应向乙方赔偿租赁房屋内乙方投入的已形成附合的装修、装饰设施的残值，但本合同另有约定的除外；未形成附合的装饰装修物，乙方有权拆除利用。</w:t>
      </w:r>
    </w:p>
    <w:p w14:paraId="12AA70FC">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3、租赁期满或本合同提前终止时，乙方与甲方共同验收该房屋及其附属设施。如有损坏（自然磨损除外）乙方须负责赔偿。</w:t>
      </w:r>
    </w:p>
    <w:p w14:paraId="2FBD3C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4、租赁期满或本合同提前终止时，乙方应向甲方归还该房屋的所有钥匙和门禁卡等。</w:t>
      </w:r>
    </w:p>
    <w:p w14:paraId="09D91CF6">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若租赁期满或本合同提前终止，乙方未能按照本合同规定向甲方返还该房屋的，视为乙方无权占用该房屋，乙方应按终止前日租金二倍的标准，根据实际占用天数结算向甲方支付占用费，并赔偿甲方因逾期收回该房屋而遭受的其他损失，包括但不限于甲方因迟延向新租户交付该房屋而需承担的违约金等，且甲、乙双方同意，乙方无权占用该房屋超过15日的，甲方有权进入租赁物业并聘请第三方公证机构进行现场拍照、视频留证后对租赁物业内的物品做如下处理，并且甲方有权将该房屋重新租予其它租户：</w:t>
      </w:r>
    </w:p>
    <w:p w14:paraId="6938D08C">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（1）该房屋内乙方遗留的不可移动的添附物或移动后价值受损的添附物，无偿归甲方所有，甲方可自行进行处置。</w:t>
      </w:r>
    </w:p>
    <w:p w14:paraId="43A57A21">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对于该房屋内乙方遗留的其它物品及货品，甲方可自行或请第三方将该等物品及货品搬离该房屋并按照合理的方式予以储存，由此产生的一切费用，包括但不限于搬运费及仓储费等，均由乙方承担，甲方在保留其于本合同项下没收保证金的权利的同时，可将前述费用作为乙方的债务向乙方追偿。如乙方逾期搬离物品及货品超过一个月的，或自该等物品及货品被搬离后一个月，乙方未向甲方提出提取的要求或未能向甲方支付前述费用，视为乙方放弃该等物品或货品的所有权，甲方有权自行处置该等物品及货品。甲方在处置过程中产生的一切费用支出或损失，应由乙方承担。</w:t>
      </w:r>
    </w:p>
    <w:p w14:paraId="3E4B13B6">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租赁期满或本合同因任何原因解除的，乙方应自租赁期满或合同解除之日起7日内变更工商注册地址，将乙方或乙方为法定代表人、负责人或实际控制人的经营实体营业执照上的住所（工商注册地址）从该房屋中迁出；否则，甲方有权没收本合同项下的保证金。</w:t>
      </w:r>
    </w:p>
    <w:p w14:paraId="61401125">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第十八 条通知与送达</w:t>
      </w:r>
    </w:p>
    <w:p w14:paraId="71DEA516">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0570255F">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甲方指定联系方式：联系地址：【</w:t>
      </w:r>
      <w:r>
        <w:rPr>
          <w:rFonts w:hint="eastAsia" w:ascii="宋体" w:hAnsi="宋体" w:eastAsia="宋体" w:cs="宋体"/>
          <w:sz w:val="24"/>
          <w:szCs w:val="24"/>
          <w:lang w:val="en-US" w:eastAsia="zh-CN"/>
        </w:rPr>
        <w:t>杭州市上城区</w:t>
      </w:r>
      <w:r>
        <w:rPr>
          <w:rFonts w:hint="eastAsia" w:ascii="宋体" w:hAnsi="宋体" w:eastAsia="宋体" w:cs="宋体"/>
          <w:sz w:val="24"/>
          <w:szCs w:val="24"/>
        </w:rPr>
        <w:t>临丁路699号】；联系电话：【</w:t>
      </w:r>
      <w:r>
        <w:rPr>
          <w:rFonts w:hint="eastAsia" w:ascii="宋体" w:hAnsi="宋体" w:eastAsia="宋体" w:cs="宋体"/>
          <w:sz w:val="24"/>
          <w:szCs w:val="24"/>
          <w:lang w:val="en-US" w:eastAsia="zh-CN"/>
        </w:rPr>
        <w:t>0571-</w:t>
      </w:r>
      <w:r>
        <w:rPr>
          <w:rFonts w:hint="eastAsia" w:ascii="宋体" w:hAnsi="宋体" w:eastAsia="宋体" w:cs="宋体"/>
          <w:sz w:val="24"/>
          <w:szCs w:val="24"/>
        </w:rPr>
        <w:t>88116668】。</w:t>
      </w:r>
    </w:p>
    <w:p w14:paraId="3A56620A">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乙方指定联系方式：联系地址：【】；联系电话：【】。</w:t>
      </w:r>
    </w:p>
    <w:p w14:paraId="1EFBD9C6">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2、依照本合同向任一方发出的任何通知，可以通过以下方式送达：</w:t>
      </w:r>
    </w:p>
    <w:p w14:paraId="3EDE46FD">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（1）以信函（挂号或快递）方式通知；</w:t>
      </w:r>
    </w:p>
    <w:p w14:paraId="70562B61">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（2）以发送给被通知人的传真或邮件方式通知；</w:t>
      </w:r>
    </w:p>
    <w:p w14:paraId="34CB0F6A">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（3）以电子送达渠道（微信/QQ）通知；</w:t>
      </w:r>
    </w:p>
    <w:p w14:paraId="6D1B33FD">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（4）专人送达。</w:t>
      </w:r>
    </w:p>
    <w:p w14:paraId="47A672FC">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以挂号或快递发送的通知，签收时间为收讫；未签收的，寄出后第七个日历天视为收讫。以传真或邮件方式发送的通知，传真机或邮件系统确认交付时，视为对方收讫。以电子送达渠道（微信/QQ）方式发送的通知，以通知进入对方指定的特定系统时，视为对方收讫。以专人送达方式发出的通知，向接收人实际交付时，视为该通知发出并生效。</w:t>
      </w:r>
    </w:p>
    <w:p w14:paraId="579613F9">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第十九条 合同争议处理方式</w:t>
      </w:r>
    </w:p>
    <w:p w14:paraId="33891CE9">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因履行本合同发生的争议，由当事人协商解决，协商不成的，依法向该房屋所在地人民法院起诉。</w:t>
      </w:r>
    </w:p>
    <w:p w14:paraId="2E26EE3D">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第二十条 其他</w:t>
      </w:r>
    </w:p>
    <w:p w14:paraId="268E5A9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1、本合同未尽事宜，经甲、乙双方协商一致，可订立补充条款。但补充条款应符合国家、省、市有关房屋或该房屋租赁管理规定，与本合同具备同等法律效力。</w:t>
      </w:r>
    </w:p>
    <w:p w14:paraId="3E36818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2、涉及到有关部门办理与经营相关的工商、税务登记相关的各种审批、手续等，由乙方自行办理，费用由乙方承担。如果需要甲方提供应由甲方提供的相关资料和证明的，甲方应及时提供。</w:t>
      </w:r>
    </w:p>
    <w:p w14:paraId="4C1367F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承租该房屋后，该房屋内及所有附属设备、设施的维护、更换和安全责任以及相应产生的费用均由乙方承担和缴纳。乙方拒不履行的，物业服务单位可代为维修，费用由乙方承担。由于乙方的过错导致的事故而直接或间接造成甲方或物业服务单位或第三人人身或财产损失、损害，乙方须承担全部责任。</w:t>
      </w:r>
    </w:p>
    <w:p w14:paraId="1F874AD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4、如因不可抗力的原因导致该房屋及其设备毁损和造成损失的，双方互不承担责任。</w:t>
      </w:r>
    </w:p>
    <w:p w14:paraId="244FD09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5、装修消防、规划审批手续由乙方自行办理。</w:t>
      </w:r>
    </w:p>
    <w:p w14:paraId="2502BFB9">
      <w:pPr>
        <w:adjustRightInd w:val="0"/>
        <w:snapToGrid w:val="0"/>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6、本合同一式捌份，甲方执伍份，乙执叁份。经甲、乙双方法定代表人或委托代理人签名并加盖公司公章后生效。</w:t>
      </w:r>
    </w:p>
    <w:p w14:paraId="7581E7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附件一：租金明细表；</w:t>
      </w:r>
    </w:p>
    <w:p w14:paraId="13A9B47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附件二：房屋及车位清单；</w:t>
      </w:r>
    </w:p>
    <w:p w14:paraId="707D6B0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附件三：《房屋使用安全协议》；</w:t>
      </w:r>
    </w:p>
    <w:p w14:paraId="16801363">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附件四：《装修管理协议》</w:t>
      </w:r>
      <w:r>
        <w:rPr>
          <w:rFonts w:hint="eastAsia" w:ascii="宋体" w:hAnsi="宋体" w:cs="宋体"/>
          <w:sz w:val="24"/>
          <w:szCs w:val="24"/>
          <w:lang w:eastAsia="zh-CN"/>
        </w:rPr>
        <w:t>；</w:t>
      </w:r>
    </w:p>
    <w:p w14:paraId="415F19A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附件五：《廉政协议书》</w:t>
      </w:r>
      <w:r>
        <w:rPr>
          <w:rFonts w:hint="eastAsia" w:ascii="宋体" w:hAnsi="宋体" w:cs="宋体"/>
          <w:sz w:val="24"/>
          <w:szCs w:val="24"/>
          <w:lang w:eastAsia="zh-CN"/>
        </w:rPr>
        <w:t>；</w:t>
      </w:r>
    </w:p>
    <w:p w14:paraId="7868C1D5">
      <w:pPr>
        <w:adjustRightInd w:val="0"/>
        <w:snapToGrid w:val="0"/>
        <w:spacing w:after="240" w:line="360" w:lineRule="auto"/>
        <w:rPr>
          <w:rFonts w:hint="eastAsia" w:ascii="宋体" w:hAnsi="宋体" w:eastAsia="宋体" w:cs="宋体"/>
          <w:sz w:val="24"/>
          <w:szCs w:val="24"/>
        </w:rPr>
      </w:pPr>
      <w:r>
        <w:rPr>
          <w:rFonts w:hint="eastAsia" w:ascii="宋体" w:hAnsi="宋体" w:eastAsia="宋体" w:cs="宋体"/>
          <w:sz w:val="24"/>
          <w:szCs w:val="24"/>
        </w:rPr>
        <w:t>（签署页）</w:t>
      </w:r>
    </w:p>
    <w:p w14:paraId="65E10D3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05C545D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法定代表人或委托代理人             法定代表人或委托代理人</w:t>
      </w:r>
    </w:p>
    <w:p w14:paraId="7C15CFF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（签名）：                         （签名）：</w:t>
      </w:r>
    </w:p>
    <w:p w14:paraId="6BD7A4F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地址：杭州市上城区临丁路699号     地址： </w:t>
      </w:r>
    </w:p>
    <w:p w14:paraId="4AE0BC7F">
      <w:pPr>
        <w:adjustRightInd w:val="0"/>
        <w:snapToGrid w:val="0"/>
        <w:spacing w:after="240" w:line="360" w:lineRule="auto"/>
        <w:rPr>
          <w:rFonts w:hint="eastAsia" w:ascii="宋体" w:hAnsi="宋体" w:eastAsia="宋体" w:cs="宋体"/>
          <w:sz w:val="24"/>
          <w:szCs w:val="24"/>
        </w:rPr>
      </w:pPr>
      <w:r>
        <w:rPr>
          <w:rFonts w:hint="eastAsia" w:ascii="宋体" w:hAnsi="宋体" w:eastAsia="宋体" w:cs="宋体"/>
          <w:sz w:val="24"/>
          <w:szCs w:val="24"/>
        </w:rPr>
        <w:t>联系电话：                         联系电话：</w:t>
      </w:r>
    </w:p>
    <w:p w14:paraId="2AAC3E76">
      <w:pPr>
        <w:adjustRightInd w:val="0"/>
        <w:snapToGrid w:val="0"/>
        <w:spacing w:line="360" w:lineRule="auto"/>
        <w:rPr>
          <w:rFonts w:hint="eastAsia" w:ascii="宋体" w:hAnsi="宋体" w:eastAsia="宋体" w:cs="宋体"/>
          <w:sz w:val="24"/>
          <w:szCs w:val="2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签约时间：</w:t>
      </w:r>
      <w:r>
        <w:rPr>
          <w:rFonts w:hint="eastAsia" w:ascii="宋体" w:hAnsi="宋体" w:eastAsia="宋体" w:cs="宋体"/>
          <w:sz w:val="24"/>
          <w:szCs w:val="24"/>
          <w:u w:val="single"/>
        </w:rPr>
        <w:t xml:space="preserve">2025 </w:t>
      </w:r>
      <w:r>
        <w:rPr>
          <w:rFonts w:hint="eastAsia" w:ascii="宋体" w:hAnsi="宋体" w:eastAsia="宋体" w:cs="宋体"/>
          <w:sz w:val="24"/>
          <w:szCs w:val="24"/>
        </w:rPr>
        <w:t>年  月   日         签约时间：</w:t>
      </w:r>
      <w:r>
        <w:rPr>
          <w:rFonts w:hint="eastAsia" w:ascii="宋体" w:hAnsi="宋体" w:eastAsia="宋体" w:cs="宋体"/>
          <w:sz w:val="24"/>
          <w:szCs w:val="24"/>
          <w:u w:val="single"/>
        </w:rPr>
        <w:t>2025</w:t>
      </w:r>
      <w:r>
        <w:rPr>
          <w:rFonts w:hint="eastAsia" w:ascii="宋体" w:hAnsi="宋体" w:eastAsia="宋体" w:cs="宋体"/>
          <w:sz w:val="24"/>
          <w:szCs w:val="24"/>
        </w:rPr>
        <w:t>年  月  日</w:t>
      </w:r>
    </w:p>
    <w:p w14:paraId="2CE5050B">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附件一：租金明细表</w:t>
      </w:r>
    </w:p>
    <w:tbl>
      <w:tblPr>
        <w:tblStyle w:val="13"/>
        <w:tblpPr w:leftFromText="180" w:rightFromText="180" w:vertAnchor="text" w:horzAnchor="page" w:tblpX="1959" w:tblpY="504"/>
        <w:tblOverlap w:val="never"/>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2565"/>
        <w:gridCol w:w="1843"/>
        <w:gridCol w:w="79"/>
        <w:gridCol w:w="2558"/>
      </w:tblGrid>
      <w:tr w14:paraId="1CB5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796" w:type="dxa"/>
            <w:vAlign w:val="center"/>
          </w:tcPr>
          <w:p w14:paraId="68FF381B">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租赁租期</w:t>
            </w:r>
          </w:p>
        </w:tc>
        <w:tc>
          <w:tcPr>
            <w:tcW w:w="2565" w:type="dxa"/>
            <w:vAlign w:val="center"/>
          </w:tcPr>
          <w:p w14:paraId="22185E18">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租期时间</w:t>
            </w:r>
          </w:p>
        </w:tc>
        <w:tc>
          <w:tcPr>
            <w:tcW w:w="1922" w:type="dxa"/>
            <w:gridSpan w:val="2"/>
            <w:vAlign w:val="center"/>
          </w:tcPr>
          <w:p w14:paraId="1BDE82FB">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租金金额</w:t>
            </w:r>
          </w:p>
        </w:tc>
        <w:tc>
          <w:tcPr>
            <w:tcW w:w="2558" w:type="dxa"/>
            <w:vAlign w:val="center"/>
          </w:tcPr>
          <w:p w14:paraId="42539CDE">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租金到账时间</w:t>
            </w:r>
          </w:p>
        </w:tc>
      </w:tr>
      <w:tr w14:paraId="1124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796" w:type="dxa"/>
            <w:vAlign w:val="center"/>
          </w:tcPr>
          <w:p w14:paraId="04B8B400">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第一租期</w:t>
            </w:r>
          </w:p>
        </w:tc>
        <w:tc>
          <w:tcPr>
            <w:tcW w:w="2565" w:type="dxa"/>
            <w:vAlign w:val="center"/>
          </w:tcPr>
          <w:p w14:paraId="3CDE1A2C">
            <w:pPr>
              <w:spacing w:line="360" w:lineRule="auto"/>
              <w:jc w:val="center"/>
              <w:rPr>
                <w:rFonts w:hint="eastAsia" w:ascii="等线" w:hAnsi="等线" w:eastAsia="等线" w:cs="等线"/>
                <w:color w:val="000000"/>
                <w:sz w:val="24"/>
                <w:szCs w:val="24"/>
              </w:rPr>
            </w:pPr>
          </w:p>
        </w:tc>
        <w:tc>
          <w:tcPr>
            <w:tcW w:w="1922" w:type="dxa"/>
            <w:gridSpan w:val="2"/>
          </w:tcPr>
          <w:p w14:paraId="2F9EF056">
            <w:pPr>
              <w:spacing w:line="360" w:lineRule="auto"/>
              <w:jc w:val="center"/>
              <w:rPr>
                <w:rFonts w:hint="eastAsia" w:ascii="等线" w:hAnsi="等线" w:eastAsia="等线" w:cs="等线"/>
                <w:color w:val="000000"/>
                <w:sz w:val="24"/>
                <w:szCs w:val="24"/>
              </w:rPr>
            </w:pPr>
          </w:p>
        </w:tc>
        <w:tc>
          <w:tcPr>
            <w:tcW w:w="2558" w:type="dxa"/>
            <w:vAlign w:val="center"/>
          </w:tcPr>
          <w:p w14:paraId="7F76F1B9">
            <w:pPr>
              <w:spacing w:line="360" w:lineRule="auto"/>
              <w:jc w:val="center"/>
              <w:rPr>
                <w:rFonts w:hint="eastAsia" w:ascii="等线" w:hAnsi="等线" w:eastAsia="等线" w:cs="等线"/>
                <w:color w:val="000000"/>
                <w:sz w:val="24"/>
                <w:szCs w:val="24"/>
              </w:rPr>
            </w:pPr>
          </w:p>
        </w:tc>
      </w:tr>
      <w:tr w14:paraId="7603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6" w:type="dxa"/>
            <w:vAlign w:val="center"/>
          </w:tcPr>
          <w:p w14:paraId="37F5D896">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第二租期</w:t>
            </w:r>
          </w:p>
        </w:tc>
        <w:tc>
          <w:tcPr>
            <w:tcW w:w="2565" w:type="dxa"/>
            <w:vAlign w:val="center"/>
          </w:tcPr>
          <w:p w14:paraId="6D82B194">
            <w:pPr>
              <w:spacing w:line="360" w:lineRule="auto"/>
              <w:jc w:val="center"/>
              <w:rPr>
                <w:rFonts w:hint="eastAsia" w:ascii="等线" w:hAnsi="等线" w:eastAsia="等线" w:cs="等线"/>
                <w:color w:val="000000"/>
                <w:sz w:val="24"/>
                <w:szCs w:val="24"/>
              </w:rPr>
            </w:pPr>
          </w:p>
        </w:tc>
        <w:tc>
          <w:tcPr>
            <w:tcW w:w="1922" w:type="dxa"/>
            <w:gridSpan w:val="2"/>
          </w:tcPr>
          <w:p w14:paraId="49E378B8">
            <w:pPr>
              <w:spacing w:line="360" w:lineRule="auto"/>
              <w:jc w:val="center"/>
              <w:rPr>
                <w:rFonts w:hint="eastAsia" w:ascii="等线" w:hAnsi="等线" w:eastAsia="等线" w:cs="等线"/>
                <w:color w:val="000000"/>
                <w:sz w:val="24"/>
                <w:szCs w:val="24"/>
              </w:rPr>
            </w:pPr>
          </w:p>
        </w:tc>
        <w:tc>
          <w:tcPr>
            <w:tcW w:w="2558" w:type="dxa"/>
            <w:vAlign w:val="center"/>
          </w:tcPr>
          <w:p w14:paraId="369B11B9">
            <w:pPr>
              <w:spacing w:line="360" w:lineRule="auto"/>
              <w:jc w:val="center"/>
              <w:rPr>
                <w:rFonts w:hint="eastAsia" w:ascii="等线" w:hAnsi="等线" w:eastAsia="等线" w:cs="等线"/>
                <w:color w:val="000000"/>
                <w:sz w:val="24"/>
                <w:szCs w:val="24"/>
              </w:rPr>
            </w:pPr>
          </w:p>
        </w:tc>
      </w:tr>
      <w:tr w14:paraId="0316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1796" w:type="dxa"/>
            <w:vAlign w:val="center"/>
          </w:tcPr>
          <w:p w14:paraId="056D6641">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第三租期</w:t>
            </w:r>
          </w:p>
        </w:tc>
        <w:tc>
          <w:tcPr>
            <w:tcW w:w="2565" w:type="dxa"/>
            <w:vAlign w:val="center"/>
          </w:tcPr>
          <w:p w14:paraId="50F88E60">
            <w:pPr>
              <w:spacing w:line="360" w:lineRule="auto"/>
              <w:jc w:val="center"/>
              <w:rPr>
                <w:rFonts w:hint="eastAsia" w:ascii="等线" w:hAnsi="等线" w:eastAsia="等线" w:cs="等线"/>
                <w:color w:val="000000"/>
                <w:sz w:val="24"/>
                <w:szCs w:val="24"/>
              </w:rPr>
            </w:pPr>
          </w:p>
        </w:tc>
        <w:tc>
          <w:tcPr>
            <w:tcW w:w="1922" w:type="dxa"/>
            <w:gridSpan w:val="2"/>
          </w:tcPr>
          <w:p w14:paraId="6A7ACCA4">
            <w:pPr>
              <w:spacing w:line="360" w:lineRule="auto"/>
              <w:jc w:val="center"/>
              <w:rPr>
                <w:rFonts w:hint="eastAsia" w:ascii="等线" w:hAnsi="等线" w:eastAsia="等线" w:cs="等线"/>
                <w:color w:val="000000"/>
                <w:sz w:val="24"/>
                <w:szCs w:val="24"/>
              </w:rPr>
            </w:pPr>
          </w:p>
        </w:tc>
        <w:tc>
          <w:tcPr>
            <w:tcW w:w="2558" w:type="dxa"/>
            <w:vAlign w:val="center"/>
          </w:tcPr>
          <w:p w14:paraId="0409B2A2">
            <w:pPr>
              <w:spacing w:line="360" w:lineRule="auto"/>
              <w:jc w:val="center"/>
              <w:rPr>
                <w:rFonts w:hint="eastAsia" w:ascii="等线" w:hAnsi="等线" w:eastAsia="等线" w:cs="等线"/>
                <w:color w:val="000000"/>
                <w:sz w:val="24"/>
                <w:szCs w:val="24"/>
              </w:rPr>
            </w:pPr>
          </w:p>
        </w:tc>
      </w:tr>
      <w:tr w14:paraId="2605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796" w:type="dxa"/>
            <w:vAlign w:val="center"/>
          </w:tcPr>
          <w:p w14:paraId="14E1F0C1">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第四租期</w:t>
            </w:r>
          </w:p>
        </w:tc>
        <w:tc>
          <w:tcPr>
            <w:tcW w:w="2565" w:type="dxa"/>
            <w:vAlign w:val="center"/>
          </w:tcPr>
          <w:p w14:paraId="3ADDD237">
            <w:pPr>
              <w:spacing w:line="360" w:lineRule="auto"/>
              <w:jc w:val="center"/>
              <w:rPr>
                <w:rFonts w:hint="eastAsia" w:ascii="等线" w:hAnsi="等线" w:eastAsia="等线" w:cs="等线"/>
                <w:color w:val="000000"/>
                <w:sz w:val="24"/>
                <w:szCs w:val="24"/>
              </w:rPr>
            </w:pPr>
          </w:p>
        </w:tc>
        <w:tc>
          <w:tcPr>
            <w:tcW w:w="1922" w:type="dxa"/>
            <w:gridSpan w:val="2"/>
          </w:tcPr>
          <w:p w14:paraId="6AD65800">
            <w:pPr>
              <w:spacing w:line="360" w:lineRule="auto"/>
              <w:jc w:val="center"/>
              <w:rPr>
                <w:rFonts w:hint="eastAsia" w:ascii="等线" w:hAnsi="等线" w:eastAsia="等线" w:cs="等线"/>
                <w:color w:val="000000"/>
                <w:sz w:val="24"/>
                <w:szCs w:val="24"/>
              </w:rPr>
            </w:pPr>
          </w:p>
        </w:tc>
        <w:tc>
          <w:tcPr>
            <w:tcW w:w="2558" w:type="dxa"/>
            <w:vAlign w:val="center"/>
          </w:tcPr>
          <w:p w14:paraId="3BFAF7E7">
            <w:pPr>
              <w:spacing w:line="360" w:lineRule="auto"/>
              <w:jc w:val="center"/>
              <w:rPr>
                <w:rFonts w:hint="eastAsia" w:ascii="等线" w:hAnsi="等线" w:eastAsia="等线" w:cs="等线"/>
                <w:color w:val="000000"/>
                <w:sz w:val="24"/>
                <w:szCs w:val="24"/>
              </w:rPr>
            </w:pPr>
          </w:p>
        </w:tc>
      </w:tr>
      <w:tr w14:paraId="3016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796" w:type="dxa"/>
            <w:vAlign w:val="center"/>
          </w:tcPr>
          <w:p w14:paraId="30D50A03">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第五租期</w:t>
            </w:r>
          </w:p>
        </w:tc>
        <w:tc>
          <w:tcPr>
            <w:tcW w:w="2565" w:type="dxa"/>
            <w:vAlign w:val="center"/>
          </w:tcPr>
          <w:p w14:paraId="77EDDDB1">
            <w:pPr>
              <w:spacing w:line="360" w:lineRule="auto"/>
              <w:jc w:val="center"/>
              <w:rPr>
                <w:rFonts w:hint="eastAsia" w:ascii="等线" w:hAnsi="等线" w:eastAsia="等线" w:cs="等线"/>
                <w:color w:val="000000"/>
                <w:sz w:val="24"/>
                <w:szCs w:val="24"/>
              </w:rPr>
            </w:pPr>
          </w:p>
        </w:tc>
        <w:tc>
          <w:tcPr>
            <w:tcW w:w="1922" w:type="dxa"/>
            <w:gridSpan w:val="2"/>
          </w:tcPr>
          <w:p w14:paraId="7B5ECFE0">
            <w:pPr>
              <w:spacing w:line="360" w:lineRule="auto"/>
              <w:jc w:val="center"/>
              <w:rPr>
                <w:rFonts w:hint="eastAsia" w:ascii="等线" w:hAnsi="等线" w:eastAsia="等线" w:cs="等线"/>
                <w:color w:val="000000"/>
                <w:sz w:val="24"/>
                <w:szCs w:val="24"/>
              </w:rPr>
            </w:pPr>
          </w:p>
        </w:tc>
        <w:tc>
          <w:tcPr>
            <w:tcW w:w="2558" w:type="dxa"/>
            <w:vAlign w:val="center"/>
          </w:tcPr>
          <w:p w14:paraId="7F59B8E3">
            <w:pPr>
              <w:spacing w:line="360" w:lineRule="auto"/>
              <w:jc w:val="center"/>
              <w:rPr>
                <w:rFonts w:hint="eastAsia" w:ascii="等线" w:hAnsi="等线" w:eastAsia="等线" w:cs="等线"/>
                <w:color w:val="000000"/>
                <w:sz w:val="24"/>
                <w:szCs w:val="24"/>
              </w:rPr>
            </w:pPr>
          </w:p>
        </w:tc>
      </w:tr>
      <w:tr w14:paraId="4722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1796" w:type="dxa"/>
            <w:vAlign w:val="center"/>
          </w:tcPr>
          <w:p w14:paraId="74F78214">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第六租期</w:t>
            </w:r>
          </w:p>
        </w:tc>
        <w:tc>
          <w:tcPr>
            <w:tcW w:w="2565" w:type="dxa"/>
            <w:vAlign w:val="center"/>
          </w:tcPr>
          <w:p w14:paraId="56461C9F">
            <w:pPr>
              <w:spacing w:line="360" w:lineRule="auto"/>
              <w:jc w:val="center"/>
              <w:rPr>
                <w:rFonts w:hint="eastAsia" w:ascii="等线" w:hAnsi="等线" w:eastAsia="等线" w:cs="等线"/>
                <w:color w:val="000000"/>
                <w:sz w:val="24"/>
                <w:szCs w:val="24"/>
              </w:rPr>
            </w:pPr>
          </w:p>
        </w:tc>
        <w:tc>
          <w:tcPr>
            <w:tcW w:w="1922" w:type="dxa"/>
            <w:gridSpan w:val="2"/>
          </w:tcPr>
          <w:p w14:paraId="5AC4D434">
            <w:pPr>
              <w:spacing w:line="360" w:lineRule="auto"/>
              <w:jc w:val="center"/>
              <w:rPr>
                <w:rFonts w:hint="eastAsia" w:ascii="等线" w:hAnsi="等线" w:eastAsia="等线" w:cs="等线"/>
                <w:color w:val="000000"/>
                <w:sz w:val="24"/>
                <w:szCs w:val="24"/>
              </w:rPr>
            </w:pPr>
          </w:p>
        </w:tc>
        <w:tc>
          <w:tcPr>
            <w:tcW w:w="2558" w:type="dxa"/>
            <w:vAlign w:val="center"/>
          </w:tcPr>
          <w:p w14:paraId="4C0DC3EE">
            <w:pPr>
              <w:spacing w:line="360" w:lineRule="auto"/>
              <w:jc w:val="center"/>
              <w:rPr>
                <w:rFonts w:hint="eastAsia" w:ascii="等线" w:hAnsi="等线" w:eastAsia="等线" w:cs="等线"/>
                <w:color w:val="000000"/>
                <w:sz w:val="24"/>
                <w:szCs w:val="24"/>
              </w:rPr>
            </w:pPr>
          </w:p>
        </w:tc>
      </w:tr>
      <w:tr w14:paraId="65D3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796" w:type="dxa"/>
            <w:vAlign w:val="center"/>
          </w:tcPr>
          <w:p w14:paraId="0A7D3D03">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第七租期</w:t>
            </w:r>
          </w:p>
        </w:tc>
        <w:tc>
          <w:tcPr>
            <w:tcW w:w="2565" w:type="dxa"/>
            <w:vAlign w:val="center"/>
          </w:tcPr>
          <w:p w14:paraId="019A58DC">
            <w:pPr>
              <w:spacing w:line="360" w:lineRule="auto"/>
              <w:jc w:val="center"/>
              <w:rPr>
                <w:rFonts w:hint="eastAsia" w:ascii="等线" w:hAnsi="等线" w:eastAsia="等线" w:cs="等线"/>
                <w:color w:val="000000"/>
                <w:sz w:val="24"/>
                <w:szCs w:val="24"/>
              </w:rPr>
            </w:pPr>
          </w:p>
        </w:tc>
        <w:tc>
          <w:tcPr>
            <w:tcW w:w="1922" w:type="dxa"/>
            <w:gridSpan w:val="2"/>
          </w:tcPr>
          <w:p w14:paraId="194FAF50">
            <w:pPr>
              <w:spacing w:line="360" w:lineRule="auto"/>
              <w:jc w:val="center"/>
              <w:rPr>
                <w:rFonts w:hint="eastAsia" w:ascii="等线" w:hAnsi="等线" w:eastAsia="等线" w:cs="等线"/>
                <w:color w:val="000000"/>
                <w:sz w:val="24"/>
                <w:szCs w:val="24"/>
              </w:rPr>
            </w:pPr>
          </w:p>
        </w:tc>
        <w:tc>
          <w:tcPr>
            <w:tcW w:w="2558" w:type="dxa"/>
            <w:vAlign w:val="center"/>
          </w:tcPr>
          <w:p w14:paraId="21055D2B">
            <w:pPr>
              <w:spacing w:line="360" w:lineRule="auto"/>
              <w:jc w:val="center"/>
              <w:rPr>
                <w:rFonts w:hint="eastAsia" w:ascii="等线" w:hAnsi="等线" w:eastAsia="等线" w:cs="等线"/>
                <w:color w:val="000000"/>
                <w:sz w:val="24"/>
                <w:szCs w:val="24"/>
              </w:rPr>
            </w:pPr>
          </w:p>
        </w:tc>
      </w:tr>
      <w:tr w14:paraId="5398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1796" w:type="dxa"/>
            <w:vAlign w:val="center"/>
          </w:tcPr>
          <w:p w14:paraId="0F9428FC">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第八租期</w:t>
            </w:r>
          </w:p>
        </w:tc>
        <w:tc>
          <w:tcPr>
            <w:tcW w:w="2565" w:type="dxa"/>
            <w:vAlign w:val="center"/>
          </w:tcPr>
          <w:p w14:paraId="41F500E5">
            <w:pPr>
              <w:spacing w:line="360" w:lineRule="auto"/>
              <w:jc w:val="center"/>
              <w:rPr>
                <w:rFonts w:hint="eastAsia" w:ascii="等线" w:hAnsi="等线" w:eastAsia="等线" w:cs="等线"/>
                <w:color w:val="000000"/>
                <w:sz w:val="24"/>
                <w:szCs w:val="24"/>
              </w:rPr>
            </w:pPr>
          </w:p>
        </w:tc>
        <w:tc>
          <w:tcPr>
            <w:tcW w:w="1922" w:type="dxa"/>
            <w:gridSpan w:val="2"/>
          </w:tcPr>
          <w:p w14:paraId="6F30379E">
            <w:pPr>
              <w:spacing w:line="360" w:lineRule="auto"/>
              <w:jc w:val="center"/>
              <w:rPr>
                <w:rFonts w:hint="eastAsia" w:ascii="等线" w:hAnsi="等线" w:eastAsia="等线" w:cs="等线"/>
                <w:color w:val="000000"/>
                <w:sz w:val="24"/>
                <w:szCs w:val="24"/>
              </w:rPr>
            </w:pPr>
          </w:p>
        </w:tc>
        <w:tc>
          <w:tcPr>
            <w:tcW w:w="2558" w:type="dxa"/>
            <w:vAlign w:val="center"/>
          </w:tcPr>
          <w:p w14:paraId="27D28DDA">
            <w:pPr>
              <w:spacing w:line="360" w:lineRule="auto"/>
              <w:jc w:val="center"/>
              <w:rPr>
                <w:rFonts w:hint="eastAsia" w:ascii="等线" w:hAnsi="等线" w:eastAsia="等线" w:cs="等线"/>
                <w:color w:val="000000"/>
                <w:sz w:val="24"/>
                <w:szCs w:val="24"/>
              </w:rPr>
            </w:pPr>
          </w:p>
        </w:tc>
      </w:tr>
      <w:tr w14:paraId="7541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96" w:type="dxa"/>
            <w:vAlign w:val="center"/>
          </w:tcPr>
          <w:p w14:paraId="256EB490">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第九租期</w:t>
            </w:r>
          </w:p>
        </w:tc>
        <w:tc>
          <w:tcPr>
            <w:tcW w:w="2565" w:type="dxa"/>
            <w:vAlign w:val="center"/>
          </w:tcPr>
          <w:p w14:paraId="2311D201">
            <w:pPr>
              <w:spacing w:line="360" w:lineRule="auto"/>
              <w:jc w:val="center"/>
              <w:rPr>
                <w:rFonts w:hint="eastAsia" w:ascii="等线" w:hAnsi="等线" w:eastAsia="等线" w:cs="等线"/>
                <w:color w:val="000000"/>
                <w:sz w:val="24"/>
                <w:szCs w:val="24"/>
              </w:rPr>
            </w:pPr>
          </w:p>
        </w:tc>
        <w:tc>
          <w:tcPr>
            <w:tcW w:w="1922" w:type="dxa"/>
            <w:gridSpan w:val="2"/>
          </w:tcPr>
          <w:p w14:paraId="7DB23418">
            <w:pPr>
              <w:spacing w:line="360" w:lineRule="auto"/>
              <w:jc w:val="center"/>
              <w:rPr>
                <w:rFonts w:hint="eastAsia" w:ascii="等线" w:hAnsi="等线" w:eastAsia="等线" w:cs="等线"/>
                <w:color w:val="000000"/>
                <w:sz w:val="24"/>
                <w:szCs w:val="24"/>
              </w:rPr>
            </w:pPr>
          </w:p>
        </w:tc>
        <w:tc>
          <w:tcPr>
            <w:tcW w:w="2558" w:type="dxa"/>
            <w:vAlign w:val="center"/>
          </w:tcPr>
          <w:p w14:paraId="388584B7">
            <w:pPr>
              <w:spacing w:line="360" w:lineRule="auto"/>
              <w:jc w:val="center"/>
              <w:rPr>
                <w:rFonts w:hint="eastAsia" w:ascii="等线" w:hAnsi="等线" w:eastAsia="等线" w:cs="等线"/>
                <w:color w:val="000000"/>
                <w:sz w:val="24"/>
                <w:szCs w:val="24"/>
              </w:rPr>
            </w:pPr>
          </w:p>
        </w:tc>
      </w:tr>
      <w:tr w14:paraId="6C64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608FC2AB">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第十租期</w:t>
            </w:r>
          </w:p>
        </w:tc>
        <w:tc>
          <w:tcPr>
            <w:tcW w:w="2565" w:type="dxa"/>
            <w:vAlign w:val="center"/>
          </w:tcPr>
          <w:p w14:paraId="062C0B57">
            <w:pPr>
              <w:spacing w:line="360" w:lineRule="auto"/>
              <w:jc w:val="center"/>
              <w:rPr>
                <w:rFonts w:hint="eastAsia" w:ascii="等线" w:hAnsi="等线" w:eastAsia="等线" w:cs="等线"/>
                <w:color w:val="000000"/>
                <w:sz w:val="24"/>
                <w:szCs w:val="24"/>
              </w:rPr>
            </w:pPr>
          </w:p>
        </w:tc>
        <w:tc>
          <w:tcPr>
            <w:tcW w:w="1922" w:type="dxa"/>
            <w:gridSpan w:val="2"/>
          </w:tcPr>
          <w:p w14:paraId="62BBCDB0">
            <w:pPr>
              <w:spacing w:line="360" w:lineRule="auto"/>
              <w:jc w:val="center"/>
              <w:rPr>
                <w:rFonts w:hint="eastAsia" w:ascii="等线" w:hAnsi="等线" w:eastAsia="等线" w:cs="等线"/>
                <w:color w:val="000000"/>
                <w:sz w:val="24"/>
                <w:szCs w:val="24"/>
              </w:rPr>
            </w:pPr>
          </w:p>
        </w:tc>
        <w:tc>
          <w:tcPr>
            <w:tcW w:w="2558" w:type="dxa"/>
            <w:vAlign w:val="center"/>
          </w:tcPr>
          <w:p w14:paraId="59CEC4E8">
            <w:pPr>
              <w:spacing w:line="360" w:lineRule="auto"/>
              <w:jc w:val="center"/>
              <w:rPr>
                <w:rFonts w:hint="eastAsia" w:ascii="等线" w:hAnsi="等线" w:eastAsia="等线" w:cs="等线"/>
                <w:color w:val="000000"/>
                <w:sz w:val="24"/>
                <w:szCs w:val="24"/>
              </w:rPr>
            </w:pPr>
          </w:p>
        </w:tc>
      </w:tr>
      <w:tr w14:paraId="654C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310893E9">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第十一租期</w:t>
            </w:r>
          </w:p>
        </w:tc>
        <w:tc>
          <w:tcPr>
            <w:tcW w:w="2565" w:type="dxa"/>
            <w:vAlign w:val="center"/>
          </w:tcPr>
          <w:p w14:paraId="311F31DB">
            <w:pPr>
              <w:spacing w:line="360" w:lineRule="auto"/>
              <w:jc w:val="center"/>
              <w:rPr>
                <w:rFonts w:hint="eastAsia" w:ascii="等线" w:hAnsi="等线" w:eastAsia="等线" w:cs="等线"/>
                <w:color w:val="000000"/>
                <w:sz w:val="24"/>
                <w:szCs w:val="24"/>
              </w:rPr>
            </w:pPr>
          </w:p>
        </w:tc>
        <w:tc>
          <w:tcPr>
            <w:tcW w:w="1922" w:type="dxa"/>
            <w:gridSpan w:val="2"/>
          </w:tcPr>
          <w:p w14:paraId="14C85ABB">
            <w:pPr>
              <w:spacing w:line="360" w:lineRule="auto"/>
              <w:jc w:val="center"/>
              <w:rPr>
                <w:rFonts w:hint="eastAsia" w:ascii="等线" w:hAnsi="等线" w:eastAsia="等线" w:cs="等线"/>
                <w:color w:val="000000"/>
                <w:sz w:val="24"/>
                <w:szCs w:val="24"/>
              </w:rPr>
            </w:pPr>
          </w:p>
        </w:tc>
        <w:tc>
          <w:tcPr>
            <w:tcW w:w="2558" w:type="dxa"/>
            <w:vAlign w:val="center"/>
          </w:tcPr>
          <w:p w14:paraId="654D65F0">
            <w:pPr>
              <w:spacing w:line="360" w:lineRule="auto"/>
              <w:jc w:val="center"/>
              <w:rPr>
                <w:rFonts w:hint="eastAsia" w:ascii="等线" w:hAnsi="等线" w:eastAsia="等线" w:cs="等线"/>
                <w:color w:val="000000"/>
                <w:sz w:val="24"/>
                <w:szCs w:val="24"/>
              </w:rPr>
            </w:pPr>
          </w:p>
        </w:tc>
      </w:tr>
      <w:tr w14:paraId="5F96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6BA9F299">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第十二租期</w:t>
            </w:r>
          </w:p>
        </w:tc>
        <w:tc>
          <w:tcPr>
            <w:tcW w:w="2565" w:type="dxa"/>
            <w:vAlign w:val="center"/>
          </w:tcPr>
          <w:p w14:paraId="71CCB551">
            <w:pPr>
              <w:spacing w:line="360" w:lineRule="auto"/>
              <w:jc w:val="center"/>
              <w:rPr>
                <w:rFonts w:hint="eastAsia" w:ascii="等线" w:hAnsi="等线" w:eastAsia="等线" w:cs="等线"/>
                <w:color w:val="000000"/>
                <w:sz w:val="24"/>
                <w:szCs w:val="24"/>
              </w:rPr>
            </w:pPr>
          </w:p>
        </w:tc>
        <w:tc>
          <w:tcPr>
            <w:tcW w:w="1922" w:type="dxa"/>
            <w:gridSpan w:val="2"/>
          </w:tcPr>
          <w:p w14:paraId="5554C741">
            <w:pPr>
              <w:spacing w:line="360" w:lineRule="auto"/>
              <w:jc w:val="center"/>
              <w:rPr>
                <w:rFonts w:hint="eastAsia" w:ascii="等线" w:hAnsi="等线" w:eastAsia="等线" w:cs="等线"/>
                <w:color w:val="000000"/>
                <w:sz w:val="24"/>
                <w:szCs w:val="24"/>
              </w:rPr>
            </w:pPr>
          </w:p>
        </w:tc>
        <w:tc>
          <w:tcPr>
            <w:tcW w:w="2558" w:type="dxa"/>
            <w:vAlign w:val="center"/>
          </w:tcPr>
          <w:p w14:paraId="306CF8EF">
            <w:pPr>
              <w:spacing w:line="360" w:lineRule="auto"/>
              <w:jc w:val="center"/>
              <w:rPr>
                <w:rFonts w:hint="eastAsia" w:ascii="等线" w:hAnsi="等线" w:eastAsia="等线" w:cs="等线"/>
                <w:color w:val="000000"/>
                <w:sz w:val="24"/>
                <w:szCs w:val="24"/>
              </w:rPr>
            </w:pPr>
          </w:p>
        </w:tc>
      </w:tr>
      <w:tr w14:paraId="589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287CD111">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第十三租期</w:t>
            </w:r>
          </w:p>
        </w:tc>
        <w:tc>
          <w:tcPr>
            <w:tcW w:w="2565" w:type="dxa"/>
            <w:vAlign w:val="center"/>
          </w:tcPr>
          <w:p w14:paraId="576D4334">
            <w:pPr>
              <w:spacing w:line="360" w:lineRule="auto"/>
              <w:jc w:val="center"/>
              <w:rPr>
                <w:rFonts w:hint="eastAsia" w:ascii="等线" w:hAnsi="等线" w:eastAsia="等线" w:cs="等线"/>
                <w:color w:val="000000"/>
                <w:sz w:val="24"/>
                <w:szCs w:val="24"/>
              </w:rPr>
            </w:pPr>
          </w:p>
        </w:tc>
        <w:tc>
          <w:tcPr>
            <w:tcW w:w="1922" w:type="dxa"/>
            <w:gridSpan w:val="2"/>
          </w:tcPr>
          <w:p w14:paraId="15B80D6A">
            <w:pPr>
              <w:spacing w:line="360" w:lineRule="auto"/>
              <w:jc w:val="center"/>
              <w:rPr>
                <w:rFonts w:hint="eastAsia" w:ascii="等线" w:hAnsi="等线" w:eastAsia="等线" w:cs="等线"/>
                <w:color w:val="000000"/>
                <w:sz w:val="24"/>
                <w:szCs w:val="24"/>
              </w:rPr>
            </w:pPr>
          </w:p>
        </w:tc>
        <w:tc>
          <w:tcPr>
            <w:tcW w:w="2558" w:type="dxa"/>
            <w:vAlign w:val="center"/>
          </w:tcPr>
          <w:p w14:paraId="50E76815">
            <w:pPr>
              <w:spacing w:line="360" w:lineRule="auto"/>
              <w:jc w:val="center"/>
              <w:rPr>
                <w:rFonts w:hint="eastAsia" w:ascii="等线" w:hAnsi="等线" w:eastAsia="等线" w:cs="等线"/>
                <w:color w:val="000000"/>
                <w:sz w:val="24"/>
                <w:szCs w:val="24"/>
              </w:rPr>
            </w:pPr>
          </w:p>
        </w:tc>
      </w:tr>
      <w:tr w14:paraId="1851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6430E1BF">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第十四租期</w:t>
            </w:r>
          </w:p>
        </w:tc>
        <w:tc>
          <w:tcPr>
            <w:tcW w:w="2565" w:type="dxa"/>
            <w:vAlign w:val="center"/>
          </w:tcPr>
          <w:p w14:paraId="425136D3">
            <w:pPr>
              <w:spacing w:line="360" w:lineRule="auto"/>
              <w:jc w:val="center"/>
              <w:rPr>
                <w:rFonts w:hint="eastAsia" w:ascii="等线" w:hAnsi="等线" w:eastAsia="等线" w:cs="等线"/>
                <w:color w:val="000000"/>
                <w:sz w:val="24"/>
                <w:szCs w:val="24"/>
              </w:rPr>
            </w:pPr>
          </w:p>
        </w:tc>
        <w:tc>
          <w:tcPr>
            <w:tcW w:w="1922" w:type="dxa"/>
            <w:gridSpan w:val="2"/>
          </w:tcPr>
          <w:p w14:paraId="40B11FB5">
            <w:pPr>
              <w:spacing w:line="360" w:lineRule="auto"/>
              <w:jc w:val="center"/>
              <w:rPr>
                <w:rFonts w:hint="eastAsia" w:ascii="等线" w:hAnsi="等线" w:eastAsia="等线" w:cs="等线"/>
                <w:color w:val="000000"/>
                <w:sz w:val="24"/>
                <w:szCs w:val="24"/>
              </w:rPr>
            </w:pPr>
          </w:p>
        </w:tc>
        <w:tc>
          <w:tcPr>
            <w:tcW w:w="2558" w:type="dxa"/>
            <w:vAlign w:val="center"/>
          </w:tcPr>
          <w:p w14:paraId="661A4189">
            <w:pPr>
              <w:spacing w:line="360" w:lineRule="auto"/>
              <w:jc w:val="center"/>
              <w:rPr>
                <w:rFonts w:hint="eastAsia" w:ascii="等线" w:hAnsi="等线" w:eastAsia="等线" w:cs="等线"/>
                <w:color w:val="000000"/>
                <w:sz w:val="24"/>
                <w:szCs w:val="24"/>
              </w:rPr>
            </w:pPr>
          </w:p>
        </w:tc>
      </w:tr>
      <w:tr w14:paraId="5123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0075444C">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第十五租期</w:t>
            </w:r>
          </w:p>
        </w:tc>
        <w:tc>
          <w:tcPr>
            <w:tcW w:w="2565" w:type="dxa"/>
            <w:vAlign w:val="center"/>
          </w:tcPr>
          <w:p w14:paraId="2DC9D6C6">
            <w:pPr>
              <w:spacing w:line="360" w:lineRule="auto"/>
              <w:jc w:val="center"/>
              <w:rPr>
                <w:rFonts w:hint="eastAsia" w:ascii="等线" w:hAnsi="等线" w:eastAsia="等线" w:cs="等线"/>
                <w:color w:val="000000"/>
                <w:sz w:val="24"/>
                <w:szCs w:val="24"/>
              </w:rPr>
            </w:pPr>
          </w:p>
        </w:tc>
        <w:tc>
          <w:tcPr>
            <w:tcW w:w="1922" w:type="dxa"/>
            <w:gridSpan w:val="2"/>
          </w:tcPr>
          <w:p w14:paraId="3341487E">
            <w:pPr>
              <w:spacing w:line="360" w:lineRule="auto"/>
              <w:jc w:val="center"/>
              <w:rPr>
                <w:rFonts w:hint="eastAsia" w:ascii="等线" w:hAnsi="等线" w:eastAsia="等线" w:cs="等线"/>
                <w:color w:val="000000"/>
                <w:sz w:val="24"/>
                <w:szCs w:val="24"/>
              </w:rPr>
            </w:pPr>
          </w:p>
        </w:tc>
        <w:tc>
          <w:tcPr>
            <w:tcW w:w="2558" w:type="dxa"/>
            <w:vAlign w:val="center"/>
          </w:tcPr>
          <w:p w14:paraId="6A86D197">
            <w:pPr>
              <w:spacing w:line="360" w:lineRule="auto"/>
              <w:jc w:val="center"/>
              <w:rPr>
                <w:rFonts w:hint="eastAsia" w:ascii="等线" w:hAnsi="等线" w:eastAsia="等线" w:cs="等线"/>
                <w:color w:val="000000"/>
                <w:sz w:val="24"/>
                <w:szCs w:val="24"/>
              </w:rPr>
            </w:pPr>
          </w:p>
        </w:tc>
      </w:tr>
      <w:tr w14:paraId="43A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19347CF2">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第十六租期</w:t>
            </w:r>
          </w:p>
        </w:tc>
        <w:tc>
          <w:tcPr>
            <w:tcW w:w="2565" w:type="dxa"/>
            <w:vAlign w:val="center"/>
          </w:tcPr>
          <w:p w14:paraId="0DA9FFA6">
            <w:pPr>
              <w:spacing w:line="360" w:lineRule="auto"/>
              <w:jc w:val="center"/>
              <w:rPr>
                <w:rFonts w:hint="eastAsia" w:ascii="等线" w:hAnsi="等线" w:eastAsia="等线" w:cs="等线"/>
                <w:color w:val="000000"/>
                <w:sz w:val="24"/>
                <w:szCs w:val="24"/>
              </w:rPr>
            </w:pPr>
          </w:p>
        </w:tc>
        <w:tc>
          <w:tcPr>
            <w:tcW w:w="1922" w:type="dxa"/>
            <w:gridSpan w:val="2"/>
          </w:tcPr>
          <w:p w14:paraId="4DC12B77">
            <w:pPr>
              <w:spacing w:line="360" w:lineRule="auto"/>
              <w:jc w:val="center"/>
              <w:rPr>
                <w:rFonts w:hint="eastAsia" w:ascii="等线" w:hAnsi="等线" w:eastAsia="等线" w:cs="等线"/>
                <w:color w:val="000000"/>
                <w:sz w:val="24"/>
                <w:szCs w:val="24"/>
              </w:rPr>
            </w:pPr>
          </w:p>
        </w:tc>
        <w:tc>
          <w:tcPr>
            <w:tcW w:w="2558" w:type="dxa"/>
            <w:vAlign w:val="center"/>
          </w:tcPr>
          <w:p w14:paraId="06AD5BDC">
            <w:pPr>
              <w:spacing w:line="360" w:lineRule="auto"/>
              <w:jc w:val="center"/>
              <w:rPr>
                <w:rFonts w:hint="eastAsia" w:ascii="等线" w:hAnsi="等线" w:eastAsia="等线" w:cs="等线"/>
                <w:color w:val="000000"/>
                <w:sz w:val="24"/>
                <w:szCs w:val="24"/>
              </w:rPr>
            </w:pPr>
          </w:p>
        </w:tc>
      </w:tr>
      <w:tr w14:paraId="2769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35A36024">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第十七租期</w:t>
            </w:r>
          </w:p>
        </w:tc>
        <w:tc>
          <w:tcPr>
            <w:tcW w:w="2565" w:type="dxa"/>
            <w:vAlign w:val="center"/>
          </w:tcPr>
          <w:p w14:paraId="57AC19E5">
            <w:pPr>
              <w:spacing w:line="360" w:lineRule="auto"/>
              <w:jc w:val="center"/>
              <w:rPr>
                <w:rFonts w:hint="eastAsia" w:ascii="等线" w:hAnsi="等线" w:eastAsia="等线" w:cs="等线"/>
                <w:color w:val="000000"/>
                <w:sz w:val="24"/>
                <w:szCs w:val="24"/>
              </w:rPr>
            </w:pPr>
          </w:p>
        </w:tc>
        <w:tc>
          <w:tcPr>
            <w:tcW w:w="1922" w:type="dxa"/>
            <w:gridSpan w:val="2"/>
          </w:tcPr>
          <w:p w14:paraId="006A57B6">
            <w:pPr>
              <w:spacing w:line="360" w:lineRule="auto"/>
              <w:jc w:val="center"/>
              <w:rPr>
                <w:rFonts w:hint="eastAsia" w:ascii="等线" w:hAnsi="等线" w:eastAsia="等线" w:cs="等线"/>
                <w:color w:val="000000"/>
                <w:sz w:val="24"/>
                <w:szCs w:val="24"/>
              </w:rPr>
            </w:pPr>
          </w:p>
        </w:tc>
        <w:tc>
          <w:tcPr>
            <w:tcW w:w="2558" w:type="dxa"/>
            <w:vAlign w:val="center"/>
          </w:tcPr>
          <w:p w14:paraId="0AB39BB7">
            <w:pPr>
              <w:spacing w:line="360" w:lineRule="auto"/>
              <w:jc w:val="center"/>
              <w:rPr>
                <w:rFonts w:hint="eastAsia" w:ascii="等线" w:hAnsi="等线" w:eastAsia="等线" w:cs="等线"/>
                <w:color w:val="000000"/>
                <w:sz w:val="24"/>
                <w:szCs w:val="24"/>
              </w:rPr>
            </w:pPr>
          </w:p>
        </w:tc>
      </w:tr>
      <w:tr w14:paraId="26D6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00D5F54C">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第十八租期</w:t>
            </w:r>
          </w:p>
        </w:tc>
        <w:tc>
          <w:tcPr>
            <w:tcW w:w="2565" w:type="dxa"/>
            <w:vAlign w:val="center"/>
          </w:tcPr>
          <w:p w14:paraId="2B301251">
            <w:pPr>
              <w:spacing w:line="360" w:lineRule="auto"/>
              <w:jc w:val="center"/>
              <w:rPr>
                <w:rFonts w:hint="eastAsia" w:ascii="等线" w:hAnsi="等线" w:eastAsia="等线" w:cs="等线"/>
                <w:color w:val="000000"/>
                <w:sz w:val="24"/>
                <w:szCs w:val="24"/>
              </w:rPr>
            </w:pPr>
          </w:p>
        </w:tc>
        <w:tc>
          <w:tcPr>
            <w:tcW w:w="1922" w:type="dxa"/>
            <w:gridSpan w:val="2"/>
          </w:tcPr>
          <w:p w14:paraId="6E3B7F9F">
            <w:pPr>
              <w:spacing w:line="360" w:lineRule="auto"/>
              <w:jc w:val="center"/>
              <w:rPr>
                <w:rFonts w:hint="eastAsia" w:ascii="等线" w:hAnsi="等线" w:eastAsia="等线" w:cs="等线"/>
                <w:color w:val="000000"/>
                <w:sz w:val="24"/>
                <w:szCs w:val="24"/>
              </w:rPr>
            </w:pPr>
          </w:p>
        </w:tc>
        <w:tc>
          <w:tcPr>
            <w:tcW w:w="2558" w:type="dxa"/>
            <w:vAlign w:val="center"/>
          </w:tcPr>
          <w:p w14:paraId="7B9BE610">
            <w:pPr>
              <w:spacing w:line="360" w:lineRule="auto"/>
              <w:jc w:val="center"/>
              <w:rPr>
                <w:rFonts w:hint="eastAsia" w:ascii="等线" w:hAnsi="等线" w:eastAsia="等线" w:cs="等线"/>
                <w:color w:val="000000"/>
                <w:sz w:val="24"/>
                <w:szCs w:val="24"/>
              </w:rPr>
            </w:pPr>
          </w:p>
        </w:tc>
      </w:tr>
      <w:tr w14:paraId="35D4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1460F69F">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第十九租期</w:t>
            </w:r>
          </w:p>
        </w:tc>
        <w:tc>
          <w:tcPr>
            <w:tcW w:w="2565" w:type="dxa"/>
            <w:vAlign w:val="center"/>
          </w:tcPr>
          <w:p w14:paraId="66E1FA11">
            <w:pPr>
              <w:spacing w:line="360" w:lineRule="auto"/>
              <w:jc w:val="center"/>
              <w:rPr>
                <w:rFonts w:hint="eastAsia" w:ascii="等线" w:hAnsi="等线" w:eastAsia="等线" w:cs="等线"/>
                <w:color w:val="000000"/>
                <w:sz w:val="24"/>
                <w:szCs w:val="24"/>
              </w:rPr>
            </w:pPr>
          </w:p>
        </w:tc>
        <w:tc>
          <w:tcPr>
            <w:tcW w:w="1922" w:type="dxa"/>
            <w:gridSpan w:val="2"/>
          </w:tcPr>
          <w:p w14:paraId="064342E2">
            <w:pPr>
              <w:spacing w:line="360" w:lineRule="auto"/>
              <w:jc w:val="center"/>
              <w:rPr>
                <w:rFonts w:hint="eastAsia" w:ascii="等线" w:hAnsi="等线" w:eastAsia="等线" w:cs="等线"/>
                <w:color w:val="000000"/>
                <w:sz w:val="24"/>
                <w:szCs w:val="24"/>
              </w:rPr>
            </w:pPr>
          </w:p>
        </w:tc>
        <w:tc>
          <w:tcPr>
            <w:tcW w:w="2558" w:type="dxa"/>
            <w:vAlign w:val="center"/>
          </w:tcPr>
          <w:p w14:paraId="5D69905F">
            <w:pPr>
              <w:spacing w:line="360" w:lineRule="auto"/>
              <w:jc w:val="center"/>
              <w:rPr>
                <w:rFonts w:hint="eastAsia" w:ascii="等线" w:hAnsi="等线" w:eastAsia="等线" w:cs="等线"/>
                <w:color w:val="000000"/>
                <w:sz w:val="24"/>
                <w:szCs w:val="24"/>
              </w:rPr>
            </w:pPr>
          </w:p>
        </w:tc>
      </w:tr>
      <w:tr w14:paraId="3869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796" w:type="dxa"/>
            <w:vAlign w:val="center"/>
          </w:tcPr>
          <w:p w14:paraId="3E76FB2F">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第二十租期</w:t>
            </w:r>
          </w:p>
        </w:tc>
        <w:tc>
          <w:tcPr>
            <w:tcW w:w="2565" w:type="dxa"/>
            <w:vAlign w:val="center"/>
          </w:tcPr>
          <w:p w14:paraId="758F07D9">
            <w:pPr>
              <w:spacing w:line="360" w:lineRule="auto"/>
              <w:jc w:val="center"/>
              <w:rPr>
                <w:rFonts w:hint="eastAsia" w:ascii="等线" w:hAnsi="等线" w:eastAsia="等线" w:cs="等线"/>
                <w:color w:val="000000"/>
                <w:sz w:val="24"/>
                <w:szCs w:val="24"/>
              </w:rPr>
            </w:pPr>
          </w:p>
        </w:tc>
        <w:tc>
          <w:tcPr>
            <w:tcW w:w="1922" w:type="dxa"/>
            <w:gridSpan w:val="2"/>
          </w:tcPr>
          <w:p w14:paraId="0B2CFE81">
            <w:pPr>
              <w:spacing w:line="360" w:lineRule="auto"/>
              <w:jc w:val="center"/>
              <w:rPr>
                <w:rFonts w:hint="eastAsia" w:ascii="等线" w:hAnsi="等线" w:eastAsia="等线" w:cs="等线"/>
                <w:color w:val="000000"/>
                <w:sz w:val="24"/>
                <w:szCs w:val="24"/>
              </w:rPr>
            </w:pPr>
          </w:p>
        </w:tc>
        <w:tc>
          <w:tcPr>
            <w:tcW w:w="2558" w:type="dxa"/>
            <w:vAlign w:val="center"/>
          </w:tcPr>
          <w:p w14:paraId="582C5947">
            <w:pPr>
              <w:spacing w:line="360" w:lineRule="auto"/>
              <w:jc w:val="center"/>
              <w:rPr>
                <w:rFonts w:hint="eastAsia" w:ascii="等线" w:hAnsi="等线" w:eastAsia="等线" w:cs="等线"/>
                <w:color w:val="000000"/>
                <w:sz w:val="24"/>
                <w:szCs w:val="24"/>
              </w:rPr>
            </w:pPr>
          </w:p>
        </w:tc>
      </w:tr>
      <w:tr w14:paraId="4470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4361" w:type="dxa"/>
            <w:gridSpan w:val="2"/>
            <w:vAlign w:val="center"/>
          </w:tcPr>
          <w:p w14:paraId="7724EFA8">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合同总金额</w:t>
            </w:r>
          </w:p>
        </w:tc>
        <w:tc>
          <w:tcPr>
            <w:tcW w:w="4480" w:type="dxa"/>
            <w:gridSpan w:val="3"/>
            <w:vAlign w:val="center"/>
          </w:tcPr>
          <w:p w14:paraId="5F0B02A1">
            <w:pPr>
              <w:spacing w:line="360" w:lineRule="auto"/>
              <w:jc w:val="center"/>
              <w:rPr>
                <w:rFonts w:hint="eastAsia" w:ascii="等线" w:hAnsi="等线" w:eastAsia="等线" w:cs="等线"/>
                <w:color w:val="000000"/>
                <w:sz w:val="24"/>
                <w:szCs w:val="24"/>
              </w:rPr>
            </w:pPr>
          </w:p>
        </w:tc>
      </w:tr>
      <w:tr w14:paraId="66E8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4361" w:type="dxa"/>
            <w:gridSpan w:val="2"/>
            <w:vAlign w:val="center"/>
          </w:tcPr>
          <w:p w14:paraId="3638245B">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履约保证金</w:t>
            </w:r>
          </w:p>
        </w:tc>
        <w:tc>
          <w:tcPr>
            <w:tcW w:w="1843" w:type="dxa"/>
            <w:vAlign w:val="center"/>
          </w:tcPr>
          <w:p w14:paraId="22D78D27">
            <w:pPr>
              <w:spacing w:line="360" w:lineRule="auto"/>
              <w:jc w:val="center"/>
              <w:rPr>
                <w:rFonts w:hint="eastAsia" w:ascii="等线" w:hAnsi="等线" w:eastAsia="等线" w:cs="等线"/>
                <w:color w:val="000000"/>
                <w:sz w:val="24"/>
                <w:szCs w:val="24"/>
              </w:rPr>
            </w:pPr>
          </w:p>
        </w:tc>
        <w:tc>
          <w:tcPr>
            <w:tcW w:w="2637" w:type="dxa"/>
            <w:gridSpan w:val="2"/>
            <w:vAlign w:val="center"/>
          </w:tcPr>
          <w:p w14:paraId="424EDFB1">
            <w:pPr>
              <w:spacing w:line="360" w:lineRule="auto"/>
              <w:jc w:val="center"/>
              <w:rPr>
                <w:rFonts w:hint="eastAsia" w:ascii="等线" w:hAnsi="等线" w:eastAsia="等线" w:cs="等线"/>
                <w:color w:val="000000"/>
                <w:sz w:val="24"/>
                <w:szCs w:val="24"/>
              </w:rPr>
            </w:pPr>
            <w:r>
              <w:rPr>
                <w:rFonts w:hint="eastAsia" w:ascii="等线" w:hAnsi="等线" w:eastAsia="等线" w:cs="等线"/>
                <w:color w:val="000000"/>
                <w:sz w:val="24"/>
                <w:szCs w:val="24"/>
              </w:rPr>
              <w:t>（本合同签署之日起7个工作日内）</w:t>
            </w:r>
          </w:p>
        </w:tc>
      </w:tr>
    </w:tbl>
    <w:p w14:paraId="498CAE02">
      <w:pPr>
        <w:adjustRightInd w:val="0"/>
        <w:snapToGrid w:val="0"/>
        <w:spacing w:after="120" w:line="360" w:lineRule="auto"/>
        <w:rPr>
          <w:rFonts w:hint="eastAsia" w:ascii="等线" w:hAnsi="等线" w:eastAsia="等线" w:cs="等线"/>
          <w:b/>
          <w:sz w:val="24"/>
          <w:szCs w:val="24"/>
        </w:rPr>
      </w:pPr>
    </w:p>
    <w:p w14:paraId="34FC6363">
      <w:pPr>
        <w:adjustRightInd w:val="0"/>
        <w:snapToGrid w:val="0"/>
        <w:spacing w:after="120" w:line="360" w:lineRule="auto"/>
        <w:rPr>
          <w:rFonts w:hint="eastAsia" w:ascii="宋体" w:hAnsi="宋体" w:eastAsia="宋体" w:cs="宋体"/>
          <w:b/>
          <w:sz w:val="24"/>
          <w:szCs w:val="24"/>
        </w:rPr>
      </w:pPr>
    </w:p>
    <w:p w14:paraId="517D8C94">
      <w:pPr>
        <w:adjustRightInd w:val="0"/>
        <w:snapToGrid w:val="0"/>
        <w:spacing w:after="120" w:line="360" w:lineRule="auto"/>
        <w:rPr>
          <w:rFonts w:hint="eastAsia" w:ascii="宋体" w:hAnsi="宋体" w:eastAsia="宋体" w:cs="宋体"/>
          <w:b/>
          <w:sz w:val="24"/>
          <w:szCs w:val="24"/>
        </w:rPr>
      </w:pPr>
    </w:p>
    <w:p w14:paraId="73BFD033">
      <w:pPr>
        <w:adjustRightInd w:val="0"/>
        <w:snapToGrid w:val="0"/>
        <w:spacing w:after="120" w:line="360" w:lineRule="auto"/>
        <w:rPr>
          <w:rFonts w:hint="eastAsia" w:ascii="宋体" w:hAnsi="宋体" w:eastAsia="宋体" w:cs="宋体"/>
          <w:b/>
          <w:sz w:val="24"/>
          <w:szCs w:val="24"/>
        </w:rPr>
      </w:pPr>
    </w:p>
    <w:p w14:paraId="2CF1C0B9">
      <w:pPr>
        <w:adjustRightInd w:val="0"/>
        <w:snapToGrid w:val="0"/>
        <w:spacing w:after="120" w:line="360" w:lineRule="auto"/>
        <w:rPr>
          <w:rFonts w:hint="eastAsia" w:ascii="宋体" w:hAnsi="宋体" w:eastAsia="宋体" w:cs="宋体"/>
          <w:b/>
          <w:sz w:val="24"/>
          <w:szCs w:val="24"/>
        </w:rPr>
      </w:pPr>
    </w:p>
    <w:p w14:paraId="02227110">
      <w:pPr>
        <w:adjustRightInd w:val="0"/>
        <w:snapToGrid w:val="0"/>
        <w:spacing w:after="120" w:line="360" w:lineRule="auto"/>
        <w:rPr>
          <w:rFonts w:hint="eastAsia" w:ascii="宋体" w:hAnsi="宋体" w:eastAsia="宋体" w:cs="宋体"/>
          <w:b/>
          <w:sz w:val="24"/>
          <w:szCs w:val="24"/>
        </w:rPr>
      </w:pPr>
    </w:p>
    <w:p w14:paraId="16A217FC">
      <w:pPr>
        <w:adjustRightInd w:val="0"/>
        <w:snapToGrid w:val="0"/>
        <w:spacing w:after="120" w:line="360" w:lineRule="auto"/>
        <w:rPr>
          <w:rFonts w:hint="eastAsia" w:ascii="宋体" w:hAnsi="宋体" w:eastAsia="宋体" w:cs="宋体"/>
          <w:b/>
          <w:sz w:val="24"/>
          <w:szCs w:val="24"/>
        </w:rPr>
      </w:pPr>
    </w:p>
    <w:p w14:paraId="11F8D11D">
      <w:pPr>
        <w:adjustRightInd w:val="0"/>
        <w:snapToGrid w:val="0"/>
        <w:spacing w:after="120" w:line="360" w:lineRule="auto"/>
        <w:rPr>
          <w:rFonts w:hint="eastAsia" w:ascii="宋体" w:hAnsi="宋体" w:eastAsia="宋体" w:cs="宋体"/>
          <w:b/>
          <w:sz w:val="24"/>
          <w:szCs w:val="24"/>
        </w:rPr>
      </w:pPr>
    </w:p>
    <w:p w14:paraId="39810DCB">
      <w:pPr>
        <w:adjustRightInd w:val="0"/>
        <w:snapToGrid w:val="0"/>
        <w:spacing w:after="120" w:line="360" w:lineRule="auto"/>
        <w:rPr>
          <w:rFonts w:hint="eastAsia" w:ascii="宋体" w:hAnsi="宋体" w:eastAsia="宋体" w:cs="宋体"/>
          <w:b/>
          <w:sz w:val="24"/>
          <w:szCs w:val="24"/>
        </w:rPr>
      </w:pPr>
    </w:p>
    <w:p w14:paraId="02F1F59A">
      <w:pPr>
        <w:adjustRightInd w:val="0"/>
        <w:snapToGrid w:val="0"/>
        <w:spacing w:after="120" w:line="360" w:lineRule="auto"/>
        <w:rPr>
          <w:rFonts w:hint="eastAsia" w:ascii="宋体" w:hAnsi="宋体" w:eastAsia="宋体" w:cs="宋体"/>
          <w:b/>
          <w:sz w:val="24"/>
          <w:szCs w:val="24"/>
        </w:rPr>
      </w:pPr>
    </w:p>
    <w:p w14:paraId="05ED8CFA">
      <w:pPr>
        <w:adjustRightInd w:val="0"/>
        <w:snapToGrid w:val="0"/>
        <w:spacing w:after="120" w:line="360" w:lineRule="auto"/>
        <w:rPr>
          <w:rFonts w:hint="eastAsia" w:ascii="宋体" w:hAnsi="宋体" w:eastAsia="宋体" w:cs="宋体"/>
          <w:b/>
          <w:sz w:val="24"/>
          <w:szCs w:val="24"/>
        </w:rPr>
      </w:pPr>
    </w:p>
    <w:p w14:paraId="6CA2A9CD">
      <w:pPr>
        <w:adjustRightInd w:val="0"/>
        <w:snapToGrid w:val="0"/>
        <w:spacing w:after="120" w:line="360" w:lineRule="auto"/>
        <w:rPr>
          <w:rFonts w:hint="eastAsia" w:ascii="宋体" w:hAnsi="宋体" w:eastAsia="宋体" w:cs="宋体"/>
          <w:b/>
          <w:sz w:val="24"/>
          <w:szCs w:val="24"/>
        </w:rPr>
      </w:pPr>
    </w:p>
    <w:p w14:paraId="6FD4732D">
      <w:pPr>
        <w:adjustRightInd w:val="0"/>
        <w:snapToGrid w:val="0"/>
        <w:spacing w:after="120" w:line="360" w:lineRule="auto"/>
        <w:rPr>
          <w:rFonts w:hint="eastAsia" w:ascii="宋体" w:hAnsi="宋体" w:eastAsia="宋体" w:cs="宋体"/>
          <w:b/>
          <w:sz w:val="24"/>
          <w:szCs w:val="24"/>
        </w:rPr>
      </w:pPr>
    </w:p>
    <w:p w14:paraId="52B5E9DD">
      <w:pPr>
        <w:adjustRightInd w:val="0"/>
        <w:snapToGrid w:val="0"/>
        <w:spacing w:after="120" w:line="360" w:lineRule="auto"/>
        <w:rPr>
          <w:rFonts w:hint="eastAsia" w:ascii="宋体" w:hAnsi="宋体" w:eastAsia="宋体" w:cs="宋体"/>
          <w:b/>
          <w:sz w:val="24"/>
          <w:szCs w:val="24"/>
        </w:rPr>
      </w:pPr>
    </w:p>
    <w:p w14:paraId="637EBA02">
      <w:pPr>
        <w:adjustRightInd w:val="0"/>
        <w:snapToGrid w:val="0"/>
        <w:spacing w:after="120" w:line="360" w:lineRule="auto"/>
        <w:rPr>
          <w:rFonts w:hint="eastAsia" w:ascii="宋体" w:hAnsi="宋体" w:eastAsia="宋体" w:cs="宋体"/>
          <w:b/>
          <w:sz w:val="24"/>
          <w:szCs w:val="24"/>
        </w:rPr>
      </w:pPr>
    </w:p>
    <w:p w14:paraId="5AE0107D">
      <w:pPr>
        <w:adjustRightInd w:val="0"/>
        <w:snapToGrid w:val="0"/>
        <w:spacing w:after="120" w:line="360" w:lineRule="auto"/>
        <w:rPr>
          <w:rFonts w:hint="eastAsia" w:ascii="宋体" w:hAnsi="宋体" w:eastAsia="宋体" w:cs="宋体"/>
          <w:b/>
          <w:sz w:val="24"/>
          <w:szCs w:val="24"/>
        </w:rPr>
      </w:pPr>
    </w:p>
    <w:p w14:paraId="5886EBC5">
      <w:pPr>
        <w:adjustRightInd w:val="0"/>
        <w:snapToGrid w:val="0"/>
        <w:spacing w:after="120" w:line="360" w:lineRule="auto"/>
        <w:rPr>
          <w:rFonts w:hint="eastAsia" w:ascii="宋体" w:hAnsi="宋体" w:eastAsia="宋体" w:cs="宋体"/>
          <w:b/>
          <w:sz w:val="24"/>
          <w:szCs w:val="24"/>
        </w:rPr>
      </w:pPr>
    </w:p>
    <w:p w14:paraId="4B0FD4E2">
      <w:pPr>
        <w:adjustRightInd w:val="0"/>
        <w:snapToGrid w:val="0"/>
        <w:spacing w:after="120" w:line="360" w:lineRule="auto"/>
        <w:rPr>
          <w:rFonts w:hint="eastAsia" w:ascii="宋体" w:hAnsi="宋体" w:eastAsia="宋体" w:cs="宋体"/>
          <w:b/>
          <w:sz w:val="24"/>
          <w:szCs w:val="24"/>
        </w:rPr>
      </w:pPr>
    </w:p>
    <w:p w14:paraId="3966C6A8">
      <w:pPr>
        <w:adjustRightInd w:val="0"/>
        <w:snapToGrid w:val="0"/>
        <w:spacing w:after="120" w:line="360" w:lineRule="auto"/>
        <w:rPr>
          <w:rFonts w:hint="eastAsia" w:ascii="宋体" w:hAnsi="宋体" w:eastAsia="宋体" w:cs="宋体"/>
          <w:b/>
          <w:sz w:val="24"/>
          <w:szCs w:val="24"/>
        </w:rPr>
      </w:pPr>
    </w:p>
    <w:p w14:paraId="36DFEBBB">
      <w:pPr>
        <w:adjustRightInd w:val="0"/>
        <w:snapToGrid w:val="0"/>
        <w:spacing w:after="120" w:line="360" w:lineRule="auto"/>
        <w:rPr>
          <w:rFonts w:hint="eastAsia" w:ascii="宋体" w:hAnsi="宋体" w:eastAsia="宋体" w:cs="宋体"/>
          <w:b/>
          <w:sz w:val="24"/>
          <w:szCs w:val="24"/>
        </w:rPr>
      </w:pPr>
      <w:r>
        <w:rPr>
          <w:rFonts w:hint="eastAsia" w:ascii="宋体" w:hAnsi="宋体" w:eastAsia="宋体" w:cs="宋体"/>
          <w:b/>
          <w:sz w:val="24"/>
          <w:szCs w:val="24"/>
        </w:rPr>
        <w:t>附件二：房屋及车位清单</w:t>
      </w:r>
    </w:p>
    <w:p w14:paraId="47633076">
      <w:pPr>
        <w:adjustRightInd w:val="0"/>
        <w:snapToGrid w:val="0"/>
        <w:spacing w:after="120" w:line="360" w:lineRule="auto"/>
        <w:rPr>
          <w:rFonts w:hint="eastAsia" w:ascii="宋体" w:hAnsi="宋体" w:eastAsia="宋体" w:cs="宋体"/>
          <w:b/>
          <w:sz w:val="24"/>
          <w:szCs w:val="24"/>
        </w:rPr>
      </w:pPr>
    </w:p>
    <w:p w14:paraId="18197695">
      <w:pPr>
        <w:adjustRightInd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933700" cy="30575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3700" cy="3057525"/>
                    </a:xfrm>
                    <a:prstGeom prst="rect">
                      <a:avLst/>
                    </a:prstGeom>
                    <a:noFill/>
                    <a:ln>
                      <a:noFill/>
                    </a:ln>
                  </pic:spPr>
                </pic:pic>
              </a:graphicData>
            </a:graphic>
          </wp:inline>
        </w:drawing>
      </w:r>
    </w:p>
    <w:p w14:paraId="2E10AF0C">
      <w:pPr>
        <w:adjustRightInd w:val="0"/>
        <w:snapToGrid w:val="0"/>
        <w:spacing w:after="120" w:line="360" w:lineRule="auto"/>
        <w:jc w:val="center"/>
        <w:rPr>
          <w:rFonts w:hint="eastAsia" w:ascii="宋体" w:hAnsi="宋体" w:eastAsia="宋体" w:cs="宋体"/>
          <w:sz w:val="24"/>
          <w:szCs w:val="24"/>
        </w:rPr>
      </w:pPr>
    </w:p>
    <w:p w14:paraId="2512DC58">
      <w:pPr>
        <w:adjustRightInd w:val="0"/>
        <w:snapToGrid w:val="0"/>
        <w:spacing w:after="120" w:line="360" w:lineRule="auto"/>
        <w:jc w:val="center"/>
        <w:rPr>
          <w:rFonts w:hint="eastAsia" w:ascii="宋体" w:hAnsi="宋体" w:eastAsia="宋体" w:cs="宋体"/>
          <w:sz w:val="24"/>
          <w:szCs w:val="24"/>
        </w:rPr>
      </w:pPr>
    </w:p>
    <w:p w14:paraId="7C18248B">
      <w:pPr>
        <w:adjustRightInd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960620" cy="88633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60620" cy="8863330"/>
                    </a:xfrm>
                    <a:prstGeom prst="rect">
                      <a:avLst/>
                    </a:prstGeom>
                    <a:noFill/>
                    <a:ln>
                      <a:noFill/>
                    </a:ln>
                  </pic:spPr>
                </pic:pic>
              </a:graphicData>
            </a:graphic>
          </wp:inline>
        </w:drawing>
      </w:r>
    </w:p>
    <w:p w14:paraId="23E6FA5D">
      <w:pPr>
        <w:adjustRightInd w:val="0"/>
        <w:snapToGrid w:val="0"/>
        <w:spacing w:after="120" w:line="360" w:lineRule="auto"/>
        <w:ind w:right="280"/>
        <w:jc w:val="right"/>
        <w:rPr>
          <w:rFonts w:hint="eastAsia" w:ascii="宋体" w:hAnsi="宋体" w:eastAsia="宋体" w:cs="宋体"/>
          <w:sz w:val="24"/>
          <w:szCs w:val="24"/>
        </w:rPr>
        <w:sectPr>
          <w:footerReference r:id="rId5" w:type="default"/>
          <w:pgSz w:w="11906" w:h="16838"/>
          <w:pgMar w:top="1440" w:right="1800" w:bottom="1440" w:left="1800" w:header="851" w:footer="992" w:gutter="0"/>
          <w:pgNumType w:fmt="decimal"/>
          <w:cols w:space="425" w:num="1"/>
          <w:docGrid w:type="lines" w:linePitch="312" w:charSpace="0"/>
        </w:sectPr>
      </w:pPr>
    </w:p>
    <w:p w14:paraId="7EEFD509">
      <w:pPr>
        <w:adjustRightInd w:val="0"/>
        <w:snapToGrid w:val="0"/>
        <w:spacing w:after="120" w:line="360" w:lineRule="auto"/>
        <w:rPr>
          <w:rFonts w:hint="eastAsia" w:ascii="宋体" w:hAnsi="宋体" w:eastAsia="宋体" w:cs="宋体"/>
          <w:bCs/>
          <w:sz w:val="24"/>
          <w:szCs w:val="24"/>
        </w:rPr>
      </w:pPr>
      <w:r>
        <w:rPr>
          <w:rFonts w:hint="eastAsia" w:ascii="宋体" w:hAnsi="宋体" w:eastAsia="宋体" w:cs="宋体"/>
          <w:b/>
          <w:sz w:val="24"/>
          <w:szCs w:val="24"/>
        </w:rPr>
        <w:t>附件三：</w:t>
      </w:r>
      <w:bookmarkStart w:id="3" w:name="_Hlk97046929"/>
      <w:r>
        <w:rPr>
          <w:rFonts w:hint="eastAsia" w:ascii="宋体" w:hAnsi="宋体" w:eastAsia="宋体" w:cs="宋体"/>
          <w:b/>
          <w:sz w:val="24"/>
          <w:szCs w:val="24"/>
        </w:rPr>
        <w:t>《租赁房屋使用安全协议》</w:t>
      </w:r>
      <w:bookmarkEnd w:id="3"/>
    </w:p>
    <w:p w14:paraId="51CCBC6B">
      <w:pPr>
        <w:spacing w:before="312" w:beforeLines="100" w:line="24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租赁房屋使用安全协议</w:t>
      </w:r>
    </w:p>
    <w:p w14:paraId="36654258">
      <w:pPr>
        <w:adjustRightInd w:val="0"/>
        <w:snapToGrid w:val="0"/>
        <w:spacing w:line="240" w:lineRule="auto"/>
        <w:ind w:firstLine="480" w:firstLineChars="200"/>
        <w:outlineLvl w:val="0"/>
        <w:rPr>
          <w:rFonts w:hint="eastAsia" w:ascii="宋体" w:hAnsi="宋体" w:eastAsia="宋体" w:cs="宋体"/>
          <w:sz w:val="24"/>
          <w:szCs w:val="24"/>
        </w:rPr>
      </w:pPr>
      <w:bookmarkStart w:id="4" w:name="_GoBack"/>
      <w:r>
        <w:rPr>
          <w:rFonts w:hint="eastAsia" w:ascii="宋体" w:hAnsi="宋体" w:eastAsia="宋体" w:cs="宋体"/>
          <w:sz w:val="24"/>
          <w:szCs w:val="24"/>
        </w:rPr>
        <w:t>甲方： 杭州市城市土地发展有限公司</w:t>
      </w:r>
    </w:p>
    <w:p w14:paraId="65AEEBE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乙方： </w:t>
      </w:r>
    </w:p>
    <w:p w14:paraId="029CF721">
      <w:pPr>
        <w:adjustRightInd w:val="0"/>
        <w:snapToGrid w:val="0"/>
        <w:spacing w:line="240" w:lineRule="auto"/>
        <w:ind w:firstLine="480" w:firstLineChars="200"/>
        <w:outlineLvl w:val="0"/>
        <w:rPr>
          <w:rFonts w:hint="eastAsia" w:ascii="宋体" w:hAnsi="宋体" w:eastAsia="宋体" w:cs="宋体"/>
          <w:sz w:val="24"/>
          <w:szCs w:val="24"/>
        </w:rPr>
      </w:pPr>
    </w:p>
    <w:p w14:paraId="5AC16A4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经甲乙双方平等协商，就该房屋租赁安全生产责任，达成如下协议：</w:t>
      </w:r>
    </w:p>
    <w:p w14:paraId="491715F6">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一、双方应共同遵守的法律、法规及其他要求</w:t>
      </w:r>
    </w:p>
    <w:p w14:paraId="15B26BFD">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在承租经营过程中，双方应共同遵守下列法律、法规及其他要求：</w:t>
      </w:r>
    </w:p>
    <w:p w14:paraId="78E598C8">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----《中华人民共和国建筑法》；</w:t>
      </w:r>
    </w:p>
    <w:p w14:paraId="1B2322A0">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----《中华人民共和国安全生产法》；</w:t>
      </w:r>
    </w:p>
    <w:p w14:paraId="2DF4123E">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----《中华人民共和国消防法》；</w:t>
      </w:r>
    </w:p>
    <w:p w14:paraId="076C9E42">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----《浙江省安全生产条例》；</w:t>
      </w:r>
    </w:p>
    <w:p w14:paraId="6CFFF342">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----其它相关的法律、法规和其他要求。</w:t>
      </w:r>
    </w:p>
    <w:p w14:paraId="32242E6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二、甲方的责任与权利</w:t>
      </w:r>
    </w:p>
    <w:p w14:paraId="3114EFF9">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1、有权传达国家、省、市及上级有关安全生产方面的法律、法规和其他要求，并敦促乙方及时执行。</w:t>
      </w:r>
    </w:p>
    <w:p w14:paraId="0B46F309">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2、有权统一协调、管理出租场所的安全生产工作，定期组织乙方进行安全培训和教育。</w:t>
      </w:r>
    </w:p>
    <w:p w14:paraId="3BE65000">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3、有权对出租场所的安全生产状况进行检查，调阅有关资料，向有关单位和人员了解情况；发现隐患或风险的，有权要求乙方当场予以整改或限期整改。</w:t>
      </w:r>
    </w:p>
    <w:p w14:paraId="0D97DE8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4、出于对出租场所的安全管理和保护，有权入户安装技防设施设备。</w:t>
      </w:r>
    </w:p>
    <w:p w14:paraId="1640A24F">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三、乙方的责任与权利</w:t>
      </w:r>
    </w:p>
    <w:p w14:paraId="489F6C31">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1、具备与所从事经营相应的安全生产条件或者相应资质，按规定设置安全管理机构或配备安全管理人员，建立安全生产责任制，制定安全生产规章制度和应急救援预案，认真履行安全生产主体责任。</w:t>
      </w:r>
    </w:p>
    <w:p w14:paraId="2706762F">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2、对影响社会安定的不安全因素，做到及时发现，妥善解决在萌芽状态，一旦发生突发事件要在报告公安机关、上级主管部门的同时，果断处置，做好化解、疏导工作，把问题解决在初发案件阶段。</w:t>
      </w:r>
    </w:p>
    <w:p w14:paraId="3DF0AF82">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3、对于法律允许范围内的暂住人口，根据《浙江省流动人口居住登记条例》、《杭州市流动人口服务管理条例》的相关规定进行流动人口居住登记和居住证领取，控制和减少违法犯罪。</w:t>
      </w:r>
    </w:p>
    <w:p w14:paraId="5589DE2D">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禁止在租赁物业内堆放易燃、易爆危险物品，不得利用租赁房屋从事非法生产、加工、储存、经营爆炸性、毒害性、放射性、腐蚀性物质或者传染病病原体等危险物质和其他违法活动，不得损害公共利益或者妨碍他人正常工作、生活。</w:t>
      </w:r>
    </w:p>
    <w:p w14:paraId="251D36EC">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5、生产经营必须符合消防、安全、环保、治安等规定和标准，遵守国家、省、市等有关法律法规，经营过程中的行为及责任概与甲方无涉。</w:t>
      </w:r>
    </w:p>
    <w:p w14:paraId="6CD0B5A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6、食品经营企业要严格遵守《食品卫生法》、《浙江省实施〈食品安全法〉办法》等相关法律法规的规定，确保食品质量符合其执行的标准要求。</w:t>
      </w:r>
    </w:p>
    <w:p w14:paraId="1DD5B12B">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7、特种设备（锅炉、压力容器、电梯起重设施等）使用必须按照《特种设备安全监察条例》规定，建立特种设备安全管理制度和特种设备操作规程，增设专职管理员，做好特种设备的日常维修和年检，定期对作业人员进行操作规程的培训。</w:t>
      </w:r>
    </w:p>
    <w:p w14:paraId="29FA8EDF">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8、装修和设备安装应符合有关技术标准和消防等安全要求，不得随意变更承租场所的用途和破坏建筑物的结构，在铺设、装修水、电、煤、气线路或管道时，不得违反安全规定，不得损害甲方合法权益。</w:t>
      </w:r>
    </w:p>
    <w:p w14:paraId="0C47C919">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9、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38FA6D85">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10、不得损坏、挪用或者擅自拆除、停用消防设施、器材；不得占用、堵塞、封闭疏散通道、安全出口、消防车通道；不得埋压、圈占、遮挡消火栓或者占用防火间距；人员密集场所不得在门窗上设置影响逃生和灭火救援的障碍物。</w:t>
      </w:r>
    </w:p>
    <w:p w14:paraId="7A484BF3">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11、保证安全生产投入的有效实施，加强从业人员的安全教育培训，负责将承租场所存在的危险因素、防范措施以及事故应急措施告知从业人员。自行组织或积极派员参加甲方组织的安全培训和教育。</w:t>
      </w:r>
    </w:p>
    <w:p w14:paraId="429691CD">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12、对承租场所的安全生产情况进行经常性检查，发现安全隐患及时处理并告知甲方。</w:t>
      </w:r>
    </w:p>
    <w:p w14:paraId="25644E4D">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13、承租场所有任何安全事件或安全隐患发生的，乙方应立即报告（事发半小时内）、着手消除、控制影响。涉及安全生产事故的，还应立即如实报告所在地的有关部门，并积极采取措施减少损失。</w:t>
      </w:r>
    </w:p>
    <w:p w14:paraId="141C97DF">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14、发生火灾火警等紧急事件时，除第一时间向消防等应急主管部门报警。</w:t>
      </w:r>
    </w:p>
    <w:p w14:paraId="27FB0CD2">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15、乙方对产权方、出租方安装的技防设施设备有保管责任，不得私自拆除、关闭、破坏，若因乙方原因造成设施设备遗失或损坏，乙方应承担赔偿责任。</w:t>
      </w:r>
    </w:p>
    <w:p w14:paraId="6527A0B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16、在租赁房屋同时，向甲方缴纳的安全责任保证金含在履约保证金中。</w:t>
      </w:r>
    </w:p>
    <w:p w14:paraId="3C4D70CF">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17、接受甲方在安全生产方面的管理和协调。</w:t>
      </w:r>
    </w:p>
    <w:p w14:paraId="01ED975C">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18、有权对甲方管理范围内周边场所的安全隐患，向甲方提出整改建议。</w:t>
      </w:r>
    </w:p>
    <w:p w14:paraId="12D455F4">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四、安全责任</w:t>
      </w:r>
    </w:p>
    <w:p w14:paraId="76F22797">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支出），亦由乙方承担赔偿责任。</w:t>
      </w:r>
    </w:p>
    <w:p w14:paraId="42E5B44E">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配合产权方、出租方及职能部门对安全及消防工作进行指导、检查并对存在的问题限期整改。如乙方发生违反前述安全责任要求行为的，甲方有权视情节严重扣除安全责任保证金5%-50%每次作为乙方的违约金。如乙方违反前述安全责任要求，导致发生安全事故，或引发第三方投诉、社会不良影响等情形的，甲方有权追索安全责任保证金（履约保证金）的100%，作为违约金。违约金不足以弥补由此造成的损失的，不足部分亦由乙方赔偿。</w:t>
      </w:r>
    </w:p>
    <w:p w14:paraId="0142F645">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乙方如有以下情况，甲方有权单方解除《房屋租赁合同》，予以腾退，并扣除其安全责任保证金作为违约金。由此产生的一切经济和法律责任，由乙方承担。乙方按照本协议支付违约金、赔偿损失，不影响或减轻乙方在《房屋租赁合同》项下的违约责任：</w:t>
      </w:r>
    </w:p>
    <w:p w14:paraId="00EE780E">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（1）违反国家有关法律、法规，违法生产、经营。</w:t>
      </w:r>
    </w:p>
    <w:p w14:paraId="57807366">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（2）安全生产管理不到位，且拒不整改的。</w:t>
      </w:r>
    </w:p>
    <w:p w14:paraId="75D7EBE0">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（3）不接受甲方的安全生产管理。</w:t>
      </w:r>
    </w:p>
    <w:p w14:paraId="7780DD78">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（4）发生安全事故、治安事件、涉恐事件。</w:t>
      </w:r>
    </w:p>
    <w:p w14:paraId="25BD306B">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（5）发生伤亡事故不及时报告或不及时组织抢救。</w:t>
      </w:r>
    </w:p>
    <w:p w14:paraId="65F73B08">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（6）存在其他违反本协议约定和有关法律法规规定的情形，且在收到甲方整改要求后未按期整改的。</w:t>
      </w:r>
    </w:p>
    <w:p w14:paraId="58A08AA8">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除本协议明确列明的责任要求外，乙方应自觉做好其他保障安全、合规经营的各项事务。甲方有权监督、核查，但甲方的监督核查并不减轻或代替任何乙方的安全责任。</w:t>
      </w:r>
    </w:p>
    <w:p w14:paraId="21F42653">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 xml:space="preserve">    五、其他</w:t>
      </w:r>
    </w:p>
    <w:p w14:paraId="2E6F0915">
      <w:pPr>
        <w:adjustRightInd w:val="0"/>
        <w:snapToGrid w:val="0"/>
        <w:spacing w:line="24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本协议作为《三墩北邻里中心1号楼4-10层房屋及地下83个车位》的附件，与合同具有同等法律效力，经双方签署后立即生效。</w:t>
      </w:r>
    </w:p>
    <w:p w14:paraId="74BC36AE">
      <w:pPr>
        <w:adjustRightInd w:val="0"/>
        <w:snapToGrid w:val="0"/>
        <w:spacing w:line="240" w:lineRule="auto"/>
        <w:ind w:firstLine="480" w:firstLineChars="200"/>
        <w:outlineLvl w:val="0"/>
        <w:rPr>
          <w:rFonts w:hint="eastAsia" w:ascii="宋体" w:hAnsi="宋体" w:eastAsia="宋体" w:cs="宋体"/>
          <w:sz w:val="24"/>
          <w:szCs w:val="24"/>
        </w:rPr>
      </w:pPr>
    </w:p>
    <w:bookmarkEnd w:id="4"/>
    <w:p w14:paraId="738A990F">
      <w:pPr>
        <w:pStyle w:val="11"/>
        <w:adjustRightInd w:val="0"/>
        <w:snapToGrid w:val="0"/>
        <w:spacing w:line="360" w:lineRule="auto"/>
        <w:ind w:firstLine="480" w:firstLineChars="200"/>
        <w:rPr>
          <w:rFonts w:hint="eastAsia" w:ascii="宋体" w:hAnsi="宋体" w:eastAsia="宋体" w:cs="宋体"/>
          <w:sz w:val="24"/>
          <w:szCs w:val="24"/>
        </w:rPr>
      </w:pPr>
    </w:p>
    <w:p w14:paraId="271ECB5D">
      <w:pPr>
        <w:pStyle w:val="11"/>
        <w:adjustRightInd w:val="0"/>
        <w:snapToGrid w:val="0"/>
        <w:spacing w:line="360" w:lineRule="auto"/>
        <w:ind w:firstLine="480" w:firstLineChars="200"/>
        <w:rPr>
          <w:rFonts w:hint="eastAsia" w:ascii="宋体" w:hAnsi="宋体" w:eastAsia="宋体" w:cs="宋体"/>
          <w:sz w:val="24"/>
          <w:szCs w:val="24"/>
        </w:rPr>
      </w:pPr>
    </w:p>
    <w:p w14:paraId="636C6C73">
      <w:pPr>
        <w:pStyle w:val="11"/>
        <w:adjustRightInd w:val="0"/>
        <w:snapToGrid w:val="0"/>
        <w:spacing w:line="360" w:lineRule="auto"/>
        <w:ind w:firstLine="480" w:firstLineChars="200"/>
        <w:rPr>
          <w:rFonts w:hint="eastAsia" w:ascii="宋体" w:hAnsi="宋体" w:eastAsia="宋体" w:cs="宋体"/>
          <w:sz w:val="24"/>
          <w:szCs w:val="24"/>
        </w:rPr>
      </w:pPr>
    </w:p>
    <w:p w14:paraId="5189646C">
      <w:pPr>
        <w:pStyle w:val="11"/>
        <w:adjustRightInd w:val="0"/>
        <w:snapToGrid w:val="0"/>
        <w:spacing w:line="360" w:lineRule="auto"/>
        <w:ind w:firstLine="480" w:firstLineChars="200"/>
        <w:rPr>
          <w:rFonts w:hint="eastAsia" w:ascii="宋体" w:hAnsi="宋体" w:eastAsia="宋体" w:cs="宋体"/>
          <w:sz w:val="24"/>
          <w:szCs w:val="24"/>
        </w:rPr>
      </w:pPr>
    </w:p>
    <w:p w14:paraId="1EDE6B9D">
      <w:pPr>
        <w:pStyle w:val="11"/>
        <w:adjustRightInd w:val="0"/>
        <w:snapToGrid w:val="0"/>
        <w:spacing w:line="360" w:lineRule="auto"/>
        <w:ind w:firstLine="480" w:firstLineChars="200"/>
        <w:rPr>
          <w:rFonts w:hint="eastAsia" w:ascii="宋体" w:hAnsi="宋体" w:eastAsia="宋体" w:cs="宋体"/>
          <w:sz w:val="24"/>
          <w:szCs w:val="24"/>
        </w:rPr>
      </w:pPr>
    </w:p>
    <w:p w14:paraId="55D31A7C">
      <w:pPr>
        <w:pStyle w:val="11"/>
        <w:adjustRightInd w:val="0"/>
        <w:snapToGrid w:val="0"/>
        <w:spacing w:line="360" w:lineRule="auto"/>
        <w:ind w:firstLine="480" w:firstLineChars="200"/>
        <w:rPr>
          <w:rFonts w:hint="eastAsia" w:ascii="宋体" w:hAnsi="宋体" w:eastAsia="宋体" w:cs="宋体"/>
          <w:sz w:val="24"/>
          <w:szCs w:val="24"/>
        </w:rPr>
      </w:pPr>
    </w:p>
    <w:p w14:paraId="1EABE695">
      <w:pPr>
        <w:pStyle w:val="11"/>
        <w:adjustRightInd w:val="0"/>
        <w:snapToGrid w:val="0"/>
        <w:spacing w:line="360" w:lineRule="auto"/>
        <w:ind w:firstLine="480" w:firstLineChars="200"/>
        <w:rPr>
          <w:rFonts w:hint="eastAsia" w:ascii="宋体" w:hAnsi="宋体" w:eastAsia="宋体" w:cs="宋体"/>
          <w:sz w:val="24"/>
          <w:szCs w:val="24"/>
        </w:rPr>
      </w:pPr>
    </w:p>
    <w:p w14:paraId="43B9AC4F">
      <w:pPr>
        <w:pStyle w:val="11"/>
        <w:adjustRightInd w:val="0"/>
        <w:snapToGrid w:val="0"/>
        <w:spacing w:line="360" w:lineRule="auto"/>
        <w:ind w:firstLine="480" w:firstLineChars="200"/>
        <w:rPr>
          <w:rFonts w:hint="eastAsia" w:ascii="宋体" w:hAnsi="宋体" w:eastAsia="宋体" w:cs="宋体"/>
          <w:sz w:val="24"/>
          <w:szCs w:val="24"/>
        </w:rPr>
      </w:pPr>
    </w:p>
    <w:p w14:paraId="451425CB">
      <w:pPr>
        <w:pStyle w:val="11"/>
        <w:adjustRightInd w:val="0"/>
        <w:snapToGrid w:val="0"/>
        <w:spacing w:line="360" w:lineRule="auto"/>
        <w:rPr>
          <w:rFonts w:hint="eastAsia" w:ascii="宋体" w:hAnsi="宋体" w:eastAsia="宋体" w:cs="宋体"/>
          <w:sz w:val="24"/>
          <w:szCs w:val="24"/>
        </w:rPr>
      </w:pPr>
    </w:p>
    <w:p w14:paraId="30FAC772">
      <w:pPr>
        <w:pStyle w:val="11"/>
        <w:adjustRightInd w:val="0"/>
        <w:snapToGrid w:val="0"/>
        <w:spacing w:line="360" w:lineRule="auto"/>
        <w:rPr>
          <w:rFonts w:hint="eastAsia" w:ascii="宋体" w:hAnsi="宋体" w:eastAsia="宋体" w:cs="宋体"/>
          <w:sz w:val="24"/>
          <w:szCs w:val="24"/>
        </w:rPr>
      </w:pPr>
    </w:p>
    <w:p w14:paraId="1FC22D11">
      <w:pPr>
        <w:pStyle w:val="11"/>
        <w:adjustRightInd w:val="0"/>
        <w:snapToGrid w:val="0"/>
        <w:spacing w:line="360" w:lineRule="auto"/>
        <w:rPr>
          <w:rFonts w:hint="eastAsia" w:ascii="宋体" w:hAnsi="宋体" w:eastAsia="宋体" w:cs="宋体"/>
          <w:sz w:val="24"/>
          <w:szCs w:val="24"/>
        </w:rPr>
      </w:pPr>
    </w:p>
    <w:p w14:paraId="7747B80B">
      <w:pPr>
        <w:pStyle w:val="11"/>
        <w:adjustRightInd w:val="0"/>
        <w:snapToGrid w:val="0"/>
        <w:spacing w:line="360" w:lineRule="auto"/>
        <w:rPr>
          <w:rFonts w:hint="eastAsia" w:ascii="宋体" w:hAnsi="宋体" w:eastAsia="宋体" w:cs="宋体"/>
          <w:sz w:val="24"/>
          <w:szCs w:val="24"/>
        </w:rPr>
      </w:pPr>
    </w:p>
    <w:p w14:paraId="51802946">
      <w:pPr>
        <w:pStyle w:val="11"/>
        <w:adjustRightInd w:val="0"/>
        <w:snapToGrid w:val="0"/>
        <w:spacing w:line="360" w:lineRule="auto"/>
        <w:ind w:firstLine="480" w:firstLineChars="200"/>
        <w:rPr>
          <w:rFonts w:hint="eastAsia" w:ascii="宋体" w:hAnsi="宋体" w:eastAsia="宋体" w:cs="宋体"/>
          <w:sz w:val="24"/>
          <w:szCs w:val="24"/>
        </w:rPr>
      </w:pPr>
    </w:p>
    <w:p w14:paraId="156C7A28">
      <w:pPr>
        <w:pStyle w:val="1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附件四：《装修管理协议》</w:t>
      </w:r>
    </w:p>
    <w:p w14:paraId="7D970341">
      <w:pPr>
        <w:pStyle w:val="2"/>
        <w:spacing w:line="360" w:lineRule="auto"/>
        <w:rPr>
          <w:rFonts w:hint="eastAsia" w:ascii="宋体" w:hAnsi="宋体" w:eastAsia="宋体" w:cs="宋体"/>
          <w:sz w:val="24"/>
          <w:szCs w:val="24"/>
        </w:rPr>
      </w:pPr>
      <w:r>
        <w:rPr>
          <w:rFonts w:hint="eastAsia" w:ascii="宋体" w:hAnsi="宋体" w:eastAsia="宋体" w:cs="宋体"/>
          <w:sz w:val="24"/>
          <w:szCs w:val="24"/>
        </w:rPr>
        <w:t>装修管理协议</w:t>
      </w:r>
    </w:p>
    <w:p w14:paraId="2564D3B2">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为了规范管理用房的室内装饰装修（以下简称装修）活动及管理行为，根据国家《物业管理条例》、建设部《房屋室内装饰装修管理办法》等相关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"http://www.chinalawedu.com/falvfagui/" \t "_blank" \o "法规" </w:instrText>
      </w:r>
      <w:r>
        <w:rPr>
          <w:rFonts w:hint="eastAsia" w:ascii="宋体" w:hAnsi="宋体" w:eastAsia="宋体" w:cs="宋体"/>
          <w:sz w:val="24"/>
          <w:szCs w:val="24"/>
        </w:rPr>
        <w:fldChar w:fldCharType="separate"/>
      </w:r>
      <w:r>
        <w:rPr>
          <w:rFonts w:hint="eastAsia" w:ascii="宋体" w:hAnsi="宋体" w:eastAsia="宋体" w:cs="宋体"/>
          <w:bCs/>
          <w:color w:val="000000"/>
          <w:sz w:val="24"/>
          <w:szCs w:val="24"/>
        </w:rPr>
        <w:t>法规</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，对三墩北邻里中心1号楼4-10层房屋及地下83个车位租赁合同修管理服务事宜，达成本协议：</w:t>
      </w:r>
    </w:p>
    <w:p w14:paraId="281A098A">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一、乙方应遵守杭州市装饰装修管理相关规定，装修前相应的装修申报，并到甲方办理装修手续。</w:t>
      </w:r>
    </w:p>
    <w:p w14:paraId="09ECBD9D">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二、装修申报流程：</w:t>
      </w:r>
    </w:p>
    <w:p w14:paraId="5A32F8A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（一）装修前乙方需向甲方申请装修备案。</w:t>
      </w:r>
    </w:p>
    <w:p w14:paraId="707985CA">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（二）乙方需向甲方提供以下资料：</w:t>
      </w:r>
    </w:p>
    <w:p w14:paraId="010E8AE7">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1、乙方公司相关证件的复印件；</w:t>
      </w:r>
    </w:p>
    <w:p w14:paraId="25F35E6A">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2、房屋的装修设计图纸（如有）；</w:t>
      </w:r>
    </w:p>
    <w:p w14:paraId="0479DF9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3、如需涉及拆改墙体的，需相关部门审核备案，提供备案表。</w:t>
      </w:r>
    </w:p>
    <w:p w14:paraId="0495E7F3">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（三）甲方对装修方案及设计图纸审核符合要求后乙方开始装修。</w:t>
      </w:r>
    </w:p>
    <w:p w14:paraId="05F01605">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三、装修施工时间规定：</w:t>
      </w:r>
      <w:r>
        <w:rPr>
          <w:rFonts w:hint="eastAsia" w:ascii="宋体" w:hAnsi="宋体" w:eastAsia="宋体" w:cs="宋体"/>
          <w:bCs/>
          <w:color w:val="000000"/>
          <w:sz w:val="24"/>
          <w:szCs w:val="24"/>
        </w:rPr>
        <w:tab/>
      </w:r>
    </w:p>
    <w:p w14:paraId="66896EE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1、装修施工期间每天的施工时间以相关文件管理要求为准。</w:t>
      </w:r>
    </w:p>
    <w:p w14:paraId="4170200E">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2、乙方必须严格按照规定时间施工，晚上18：00后不得进行凿、敲、钻、割等产生噪音的工作，以免影响他人休息及安全造成投诉。</w:t>
      </w:r>
    </w:p>
    <w:p w14:paraId="058AA343">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四、装修施工技术要求：</w:t>
      </w:r>
    </w:p>
    <w:p w14:paraId="32A6039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（一）严禁私自对房屋的承重墙、梁、柱、楼板等承重结构，进行拆改、钻切。</w:t>
      </w:r>
    </w:p>
    <w:p w14:paraId="25E40E1F">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（二）禁止扩大承重墙上原有的门窗尺寸及拆除连接的砖墙或混凝土墙体。</w:t>
      </w:r>
    </w:p>
    <w:p w14:paraId="38FE8E6F">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（三）禁止在非承重外墙上开门、窗。</w:t>
      </w:r>
    </w:p>
    <w:p w14:paraId="18AB03A1">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（四）卫生间有防水技术要求的，施工不得破坏原防水层。</w:t>
      </w:r>
    </w:p>
    <w:p w14:paraId="73B7000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（五）禁止随意改变房屋原有的设计用途或室内消防设施。</w:t>
      </w:r>
    </w:p>
    <w:p w14:paraId="4E889310">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（六）房屋装修变动不得影响毗连房屋的正常使用和邻里生活。</w:t>
      </w:r>
    </w:p>
    <w:p w14:paraId="687E9F28">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如违反以上规定，甲方有权责令责任方限期整改，并由责任方承担全部责任。</w:t>
      </w:r>
    </w:p>
    <w:p w14:paraId="5CACB345">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五、房屋装修质量的验收：</w:t>
      </w:r>
    </w:p>
    <w:p w14:paraId="1E536D2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乙方装修施工完毕后由相关行政部门进行验收，对验收不合格的项目限期整改，再行复验，直至合格。</w:t>
      </w:r>
    </w:p>
    <w:p w14:paraId="018EBEF8">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六、违约责任：</w:t>
      </w:r>
    </w:p>
    <w:p w14:paraId="5C40EF1B">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（一）装修过程中发现违反第四条规定由责任方承担全部责任，情节严重者取消其在本公司其他资产招租资格或报行政主管部门处理。</w:t>
      </w:r>
    </w:p>
    <w:p w14:paraId="4221D5CC">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（二）在装修过程中，如发现破坏房屋承重结构及共用部位设施设备、场地等，发生的一切后果由责任方承担全部责任，情节严重者报行政主管部门处理。</w:t>
      </w:r>
    </w:p>
    <w:p w14:paraId="2713C322">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（三）其他：</w:t>
      </w:r>
    </w:p>
    <w:p w14:paraId="3C31C8E4">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1、乙方承担因本次装修影响办证的风险，相关协调工作由乙方负责；</w:t>
      </w:r>
    </w:p>
    <w:p w14:paraId="5CF4AEFD">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2、装修投诉事由乙方自行处理。</w:t>
      </w:r>
    </w:p>
    <w:p w14:paraId="31EA09C9">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3、装修期间做好围挡及安全工作。</w:t>
      </w:r>
    </w:p>
    <w:p w14:paraId="7A8630BE">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4、如乙方未按要求履责的，甲方有权没收租赁合同中的履约保证金。</w:t>
      </w:r>
    </w:p>
    <w:p w14:paraId="0908E93B">
      <w:pPr>
        <w:autoSpaceDE w:val="0"/>
        <w:autoSpaceDN w:val="0"/>
        <w:adjustRightIn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七、本协议作为《三墩北邻里中心1号楼4-10层房屋及地下83个车位》的附件，与合同具有同等法律效力，经双方签署后立即生效。</w:t>
      </w:r>
    </w:p>
    <w:p w14:paraId="35E827D1">
      <w:pPr>
        <w:spacing w:line="360" w:lineRule="auto"/>
        <w:rPr>
          <w:rFonts w:hint="eastAsia" w:ascii="宋体" w:hAnsi="宋体" w:eastAsia="宋体" w:cs="宋体"/>
          <w:bCs/>
          <w:sz w:val="24"/>
          <w:szCs w:val="24"/>
        </w:rPr>
      </w:pPr>
    </w:p>
    <w:p w14:paraId="6412BCCA">
      <w:pPr>
        <w:spacing w:line="360" w:lineRule="auto"/>
        <w:rPr>
          <w:rFonts w:hint="eastAsia" w:ascii="宋体" w:hAnsi="宋体" w:eastAsia="宋体" w:cs="宋体"/>
          <w:bCs/>
          <w:sz w:val="24"/>
          <w:szCs w:val="24"/>
        </w:rPr>
      </w:pPr>
    </w:p>
    <w:p w14:paraId="7EBF3A7B">
      <w:pPr>
        <w:spacing w:line="360" w:lineRule="auto"/>
        <w:rPr>
          <w:rFonts w:hint="eastAsia" w:ascii="宋体" w:hAnsi="宋体" w:eastAsia="宋体" w:cs="宋体"/>
          <w:bCs/>
          <w:sz w:val="24"/>
          <w:szCs w:val="24"/>
        </w:rPr>
      </w:pPr>
    </w:p>
    <w:p w14:paraId="168885F0">
      <w:pPr>
        <w:spacing w:line="360" w:lineRule="auto"/>
        <w:rPr>
          <w:rFonts w:hint="eastAsia" w:ascii="宋体" w:hAnsi="宋体" w:eastAsia="宋体" w:cs="宋体"/>
          <w:bCs/>
          <w:sz w:val="24"/>
          <w:szCs w:val="24"/>
        </w:rPr>
      </w:pPr>
    </w:p>
    <w:p w14:paraId="6D740347">
      <w:pPr>
        <w:spacing w:line="360" w:lineRule="auto"/>
        <w:rPr>
          <w:rFonts w:hint="eastAsia" w:ascii="宋体" w:hAnsi="宋体" w:eastAsia="宋体" w:cs="宋体"/>
          <w:bCs/>
          <w:sz w:val="24"/>
          <w:szCs w:val="24"/>
        </w:rPr>
      </w:pPr>
    </w:p>
    <w:p w14:paraId="46E70A37">
      <w:pPr>
        <w:spacing w:line="360" w:lineRule="auto"/>
        <w:rPr>
          <w:rFonts w:hint="eastAsia" w:ascii="宋体" w:hAnsi="宋体" w:eastAsia="宋体" w:cs="宋体"/>
          <w:bCs/>
          <w:sz w:val="24"/>
          <w:szCs w:val="24"/>
        </w:rPr>
      </w:pPr>
    </w:p>
    <w:p w14:paraId="483091A4">
      <w:pPr>
        <w:spacing w:line="360" w:lineRule="auto"/>
        <w:rPr>
          <w:rFonts w:hint="eastAsia" w:ascii="宋体" w:hAnsi="宋体" w:eastAsia="宋体" w:cs="宋体"/>
          <w:bCs/>
          <w:sz w:val="24"/>
          <w:szCs w:val="24"/>
        </w:rPr>
      </w:pPr>
    </w:p>
    <w:p w14:paraId="3DA23196">
      <w:pPr>
        <w:spacing w:line="360" w:lineRule="auto"/>
        <w:rPr>
          <w:rFonts w:hint="eastAsia" w:ascii="宋体" w:hAnsi="宋体" w:eastAsia="宋体" w:cs="宋体"/>
          <w:bCs/>
          <w:sz w:val="24"/>
          <w:szCs w:val="24"/>
        </w:rPr>
      </w:pPr>
    </w:p>
    <w:p w14:paraId="4ADD8BA2">
      <w:pPr>
        <w:spacing w:line="360" w:lineRule="auto"/>
        <w:rPr>
          <w:rFonts w:hint="eastAsia" w:ascii="宋体" w:hAnsi="宋体" w:eastAsia="宋体" w:cs="宋体"/>
          <w:bCs/>
          <w:sz w:val="24"/>
          <w:szCs w:val="24"/>
        </w:rPr>
      </w:pPr>
    </w:p>
    <w:p w14:paraId="665DD43B">
      <w:pPr>
        <w:spacing w:line="360" w:lineRule="auto"/>
        <w:rPr>
          <w:rFonts w:hint="eastAsia" w:ascii="宋体" w:hAnsi="宋体" w:eastAsia="宋体" w:cs="宋体"/>
          <w:bCs/>
          <w:sz w:val="24"/>
          <w:szCs w:val="24"/>
        </w:rPr>
      </w:pPr>
    </w:p>
    <w:p w14:paraId="4526591C">
      <w:pPr>
        <w:spacing w:line="360" w:lineRule="auto"/>
        <w:rPr>
          <w:rFonts w:hint="eastAsia" w:ascii="宋体" w:hAnsi="宋体" w:eastAsia="宋体" w:cs="宋体"/>
          <w:bCs/>
          <w:sz w:val="24"/>
          <w:szCs w:val="24"/>
        </w:rPr>
      </w:pPr>
    </w:p>
    <w:p w14:paraId="4C9B8C6C">
      <w:pPr>
        <w:spacing w:line="360" w:lineRule="auto"/>
        <w:rPr>
          <w:rFonts w:hint="eastAsia" w:ascii="宋体" w:hAnsi="宋体" w:eastAsia="宋体" w:cs="宋体"/>
          <w:bCs/>
          <w:sz w:val="24"/>
          <w:szCs w:val="24"/>
        </w:rPr>
      </w:pPr>
    </w:p>
    <w:p w14:paraId="501F74B7">
      <w:pPr>
        <w:spacing w:line="360" w:lineRule="auto"/>
        <w:rPr>
          <w:rFonts w:hint="eastAsia" w:ascii="宋体" w:hAnsi="宋体" w:eastAsia="宋体" w:cs="宋体"/>
          <w:bCs/>
          <w:sz w:val="24"/>
          <w:szCs w:val="24"/>
        </w:rPr>
      </w:pPr>
    </w:p>
    <w:p w14:paraId="5279DA66">
      <w:pPr>
        <w:spacing w:line="360" w:lineRule="auto"/>
        <w:rPr>
          <w:rFonts w:hint="eastAsia" w:ascii="宋体" w:hAnsi="宋体" w:eastAsia="宋体" w:cs="宋体"/>
          <w:bCs/>
          <w:sz w:val="24"/>
          <w:szCs w:val="24"/>
        </w:rPr>
      </w:pPr>
    </w:p>
    <w:p w14:paraId="264C5D49">
      <w:pPr>
        <w:spacing w:line="360" w:lineRule="auto"/>
        <w:rPr>
          <w:rFonts w:hint="eastAsia" w:ascii="宋体" w:hAnsi="宋体" w:eastAsia="宋体" w:cs="宋体"/>
          <w:bCs/>
          <w:sz w:val="24"/>
          <w:szCs w:val="24"/>
        </w:rPr>
      </w:pPr>
      <w:r>
        <w:rPr>
          <w:rFonts w:hint="eastAsia" w:ascii="宋体" w:hAnsi="宋体" w:eastAsia="宋体" w:cs="宋体"/>
          <w:bCs/>
          <w:sz w:val="24"/>
          <w:szCs w:val="24"/>
        </w:rPr>
        <w:t>附件五：《廉政协议书》</w:t>
      </w:r>
    </w:p>
    <w:p w14:paraId="5AA3839F">
      <w:pPr>
        <w:autoSpaceDE w:val="0"/>
        <w:autoSpaceDN w:val="0"/>
        <w:adjustRightInd w:val="0"/>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廉政协议书</w:t>
      </w:r>
    </w:p>
    <w:p w14:paraId="0F16611F">
      <w:pPr>
        <w:autoSpaceDE w:val="0"/>
        <w:autoSpaceDN w:val="0"/>
        <w:adjustRightInd w:val="0"/>
        <w:spacing w:line="240" w:lineRule="auto"/>
        <w:ind w:firstLine="480" w:firstLineChars="200"/>
        <w:rPr>
          <w:rFonts w:hint="eastAsia" w:ascii="宋体" w:hAnsi="宋体" w:eastAsia="宋体" w:cs="宋体"/>
          <w:bCs/>
          <w:color w:val="000000"/>
          <w:sz w:val="24"/>
          <w:szCs w:val="24"/>
        </w:rPr>
      </w:pPr>
    </w:p>
    <w:p w14:paraId="4DFD5D40">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为促进甲乙双方在底商租赁工作中保持廉洁自律的工作作风，防止各种不正当行为发生，根据国家、省、市有关廉政建设的各项规定，结合项目的特点，特订立本廉政协议书如下：</w:t>
      </w:r>
    </w:p>
    <w:p w14:paraId="0BEF4F13">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一、自觉遵守廉政建设的各项规定，完成底商租赁工作。</w:t>
      </w:r>
    </w:p>
    <w:p w14:paraId="76B931D0">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二、不得以任何形式索要和收受回扣等好处费。</w:t>
      </w:r>
    </w:p>
    <w:p w14:paraId="39B8F552">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三、双方工作人员保持正常业务交往，不得接受礼金、有价证券、支付凭证和贵重物品，不得报销任何应由个人支付的费用。</w:t>
      </w:r>
    </w:p>
    <w:p w14:paraId="07A80EE7">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四、不得以洽谈业务、签订经济合同为借口，宴请、邀请外出旅游或进入营业性高档娱乐场所。</w:t>
      </w:r>
    </w:p>
    <w:p w14:paraId="55506BAA">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五、双方人员不得要求或者接受为其住房装修、婚丧嫁娶、家电采购、家属和子女的工作安排以及出国等提供方便。</w:t>
      </w:r>
    </w:p>
    <w:p w14:paraId="093F37FF">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六、双方人员不得接受赠送或提供使用的通信工具、交通工具、家用电器、高档办公用品等物品。</w:t>
      </w:r>
    </w:p>
    <w:p w14:paraId="5953DFF1">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七、双方人员不得介绍家属或亲友从事有关此工程的任何经济活动。</w:t>
      </w:r>
    </w:p>
    <w:p w14:paraId="01C30422">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八、乙方不得为谋取私利擅自与甲方工作人员进行私下商谈等活动或者达成默契。</w:t>
      </w:r>
    </w:p>
    <w:p w14:paraId="31824F30">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九、乙方如发现甲方工作人员有违反上述协议的情况，应当向甲方领导或者甲方监察审计部（88117129）举报。甲方工作人员不得找任何借口对乙方进行报复。</w:t>
      </w:r>
    </w:p>
    <w:p w14:paraId="6F24BF2D">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十、甲方发现乙方有违反本协议或者行贿甲方工作人员，甲方将根据具体情节和造成的后果，采取暂停、终止合同或取消今后在本公司的房屋租赁资格。由此给甲方单位造成的损失均由乙方承担，乙方用不正当手段获取的非法所得要依法予以追缴。</w:t>
      </w:r>
    </w:p>
    <w:p w14:paraId="6FC710EA">
      <w:pPr>
        <w:autoSpaceDE w:val="0"/>
        <w:autoSpaceDN w:val="0"/>
        <w:adjustRightInd w:val="0"/>
        <w:spacing w:line="24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十一、本廉政协议作为《三墩北邻里中心1号楼4-10层房屋及地下83个车位》的附件，与合同具有同等法律效力，经双方签署后立即生效。</w:t>
      </w:r>
    </w:p>
    <w:p w14:paraId="42E0CCAE">
      <w:pPr>
        <w:pStyle w:val="4"/>
        <w:spacing w:line="240" w:lineRule="auto"/>
        <w:ind w:left="0" w:leftChars="0"/>
        <w:rPr>
          <w:rFonts w:hint="eastAsia" w:ascii="宋体" w:hAnsi="宋体" w:eastAsia="宋体" w:cs="宋体"/>
          <w:bCs/>
          <w:sz w:val="24"/>
          <w:szCs w:val="24"/>
        </w:rPr>
      </w:pPr>
      <w:r>
        <w:rPr>
          <w:rFonts w:hint="eastAsia" w:ascii="宋体" w:hAnsi="宋体" w:eastAsia="宋体" w:cs="宋体"/>
          <w:bCs/>
          <w:sz w:val="24"/>
          <w:szCs w:val="24"/>
        </w:rPr>
        <w:t>签署</w:t>
      </w:r>
    </w:p>
    <w:p w14:paraId="451909CD">
      <w:pPr>
        <w:adjustRightInd w:val="0"/>
        <w:snapToGrid w:val="0"/>
        <w:spacing w:line="240" w:lineRule="auto"/>
        <w:ind w:firstLine="468" w:firstLineChars="195"/>
        <w:rPr>
          <w:rFonts w:hint="eastAsia" w:ascii="宋体" w:hAnsi="宋体" w:eastAsia="宋体" w:cs="宋体"/>
          <w:bCs/>
          <w:sz w:val="24"/>
          <w:szCs w:val="24"/>
        </w:rPr>
      </w:pPr>
      <w:r>
        <w:rPr>
          <w:rFonts w:hint="eastAsia" w:ascii="宋体" w:hAnsi="宋体" w:eastAsia="宋体" w:cs="宋体"/>
          <w:bCs/>
          <w:sz w:val="24"/>
          <w:szCs w:val="24"/>
        </w:rPr>
        <w:t>以上附件双方本人或分别已正式授权其下述代表于杭州市正式签署本附件协议，以昭信守。</w:t>
      </w:r>
    </w:p>
    <w:p w14:paraId="6C99C819">
      <w:pPr>
        <w:pStyle w:val="4"/>
        <w:spacing w:line="360" w:lineRule="auto"/>
        <w:rPr>
          <w:rFonts w:hint="eastAsia" w:ascii="宋体" w:hAnsi="宋体" w:eastAsia="宋体" w:cs="宋体"/>
          <w:bCs/>
          <w:sz w:val="24"/>
          <w:szCs w:val="24"/>
        </w:rPr>
      </w:pPr>
    </w:p>
    <w:p w14:paraId="716EB2F4">
      <w:pPr>
        <w:pStyle w:val="4"/>
        <w:spacing w:line="360" w:lineRule="auto"/>
        <w:ind w:left="0" w:leftChars="0" w:firstLine="0" w:firstLineChars="0"/>
        <w:rPr>
          <w:rFonts w:hint="eastAsia" w:ascii="宋体" w:hAnsi="宋体" w:eastAsia="宋体" w:cs="宋体"/>
          <w:bCs/>
          <w:sz w:val="24"/>
          <w:szCs w:val="24"/>
        </w:rPr>
      </w:pPr>
    </w:p>
    <w:p w14:paraId="6E49E924">
      <w:pPr>
        <w:pStyle w:val="34"/>
        <w:spacing w:before="0" w:beforeAutospacing="0" w:after="0" w:afterAutospacing="0" w:line="360" w:lineRule="auto"/>
        <w:jc w:val="both"/>
        <w:rPr>
          <w:rFonts w:hint="eastAsia" w:ascii="宋体" w:hAnsi="宋体" w:eastAsia="宋体" w:cs="宋体"/>
          <w:bCs/>
          <w:sz w:val="24"/>
          <w:szCs w:val="24"/>
        </w:rPr>
      </w:pPr>
      <w:r>
        <w:rPr>
          <w:rFonts w:hint="eastAsia" w:cs="宋体"/>
          <w:bCs/>
          <w:sz w:val="24"/>
          <w:szCs w:val="24"/>
          <w:lang w:val="en-US" w:eastAsia="zh-CN"/>
        </w:rPr>
        <w:t>甲方(</w:t>
      </w:r>
      <w:r>
        <w:rPr>
          <w:rFonts w:hint="eastAsia" w:ascii="宋体" w:hAnsi="宋体" w:eastAsia="宋体" w:cs="宋体"/>
          <w:bCs/>
          <w:sz w:val="24"/>
          <w:szCs w:val="24"/>
        </w:rPr>
        <w:t>盖章</w:t>
      </w:r>
      <w:r>
        <w:rPr>
          <w:rFonts w:hint="eastAsia" w:cs="宋体"/>
          <w:bCs/>
          <w:sz w:val="24"/>
          <w:szCs w:val="24"/>
          <w:lang w:val="en-US" w:eastAsia="zh-CN"/>
        </w:rPr>
        <w:t>)</w:t>
      </w:r>
      <w:r>
        <w:rPr>
          <w:rFonts w:hint="eastAsia" w:cs="宋体"/>
          <w:bCs/>
          <w:sz w:val="24"/>
          <w:szCs w:val="24"/>
          <w:lang w:val="en-US" w:eastAsia="zh-CN"/>
        </w:rPr>
        <w:t>：</w:t>
      </w:r>
      <w:r>
        <w:rPr>
          <w:rFonts w:hint="eastAsia" w:ascii="宋体" w:hAnsi="宋体" w:eastAsia="宋体" w:cs="宋体"/>
          <w:bCs/>
          <w:sz w:val="24"/>
          <w:szCs w:val="24"/>
        </w:rPr>
        <w:t xml:space="preserve">            </w:t>
      </w:r>
      <w:r>
        <w:rPr>
          <w:rFonts w:hint="eastAsia" w:cs="宋体"/>
          <w:bCs/>
          <w:sz w:val="24"/>
          <w:szCs w:val="24"/>
          <w:lang w:val="en-US" w:eastAsia="zh-CN"/>
        </w:rPr>
        <w:t xml:space="preserve">           </w:t>
      </w:r>
      <w:r>
        <w:rPr>
          <w:rFonts w:hint="eastAsia" w:ascii="宋体" w:hAnsi="宋体" w:eastAsia="宋体" w:cs="宋体"/>
          <w:bCs/>
          <w:sz w:val="24"/>
          <w:szCs w:val="24"/>
        </w:rPr>
        <w:t>乙方</w:t>
      </w:r>
      <w:r>
        <w:rPr>
          <w:rFonts w:hint="eastAsia" w:ascii="宋体" w:hAnsi="宋体" w:eastAsia="宋体" w:cs="宋体"/>
          <w:bCs/>
          <w:sz w:val="24"/>
          <w:szCs w:val="24"/>
        </w:rPr>
        <w:t>（</w:t>
      </w:r>
      <w:r>
        <w:rPr>
          <w:rFonts w:hint="eastAsia" w:ascii="宋体" w:hAnsi="宋体" w:eastAsia="宋体" w:cs="宋体"/>
          <w:bCs/>
          <w:sz w:val="24"/>
          <w:szCs w:val="24"/>
        </w:rPr>
        <w:t>盖章</w:t>
      </w:r>
      <w:r>
        <w:rPr>
          <w:rFonts w:hint="eastAsia" w:ascii="宋体" w:hAnsi="宋体" w:eastAsia="宋体" w:cs="宋体"/>
          <w:bCs/>
          <w:sz w:val="24"/>
          <w:szCs w:val="24"/>
        </w:rPr>
        <w:t>）：</w:t>
      </w:r>
    </w:p>
    <w:p w14:paraId="24820C01">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法人代表：                         法人代表：</w:t>
      </w:r>
    </w:p>
    <w:p w14:paraId="7CB0EB1D">
      <w:pPr>
        <w:adjustRightInd w:val="0"/>
        <w:snapToGrid w:val="0"/>
        <w:spacing w:line="360" w:lineRule="auto"/>
        <w:rPr>
          <w:rFonts w:hint="eastAsia" w:ascii="宋体" w:hAnsi="宋体" w:eastAsia="宋体" w:cs="宋体"/>
          <w:bCs/>
          <w:color w:val="000000"/>
          <w:sz w:val="24"/>
          <w:szCs w:val="24"/>
        </w:rPr>
      </w:pPr>
      <w:r>
        <w:rPr>
          <w:rFonts w:hint="eastAsia" w:ascii="宋体" w:hAnsi="宋体" w:eastAsia="宋体" w:cs="宋体"/>
          <w:bCs/>
          <w:sz w:val="24"/>
          <w:szCs w:val="24"/>
        </w:rPr>
        <w:t>或委托代理人</w:t>
      </w:r>
      <w:r>
        <w:rPr>
          <w:rFonts w:hint="eastAsia" w:ascii="宋体" w:hAnsi="宋体" w:eastAsia="宋体" w:cs="宋体"/>
          <w:bCs/>
          <w:color w:val="000000"/>
          <w:sz w:val="24"/>
          <w:szCs w:val="24"/>
        </w:rPr>
        <w:t xml:space="preserve">（签名）：              </w:t>
      </w:r>
      <w:r>
        <w:rPr>
          <w:rFonts w:hint="eastAsia" w:ascii="宋体" w:hAnsi="宋体" w:eastAsia="宋体" w:cs="宋体"/>
          <w:bCs/>
          <w:sz w:val="24"/>
          <w:szCs w:val="24"/>
        </w:rPr>
        <w:t>或委托代理人</w:t>
      </w:r>
      <w:r>
        <w:rPr>
          <w:rFonts w:hint="eastAsia" w:ascii="宋体" w:hAnsi="宋体" w:eastAsia="宋体" w:cs="宋体"/>
          <w:bCs/>
          <w:color w:val="000000"/>
          <w:sz w:val="24"/>
          <w:szCs w:val="24"/>
        </w:rPr>
        <w:t>（签名）：</w:t>
      </w:r>
    </w:p>
    <w:p w14:paraId="2A38BC89">
      <w:pPr>
        <w:pStyle w:val="34"/>
        <w:spacing w:before="0" w:beforeAutospacing="0" w:after="0" w:afterAutospacing="0" w:line="360" w:lineRule="auto"/>
        <w:jc w:val="both"/>
        <w:rPr>
          <w:rFonts w:hint="eastAsia" w:ascii="宋体" w:hAnsi="宋体" w:eastAsia="宋体" w:cs="宋体"/>
          <w:bCs/>
          <w:sz w:val="24"/>
          <w:szCs w:val="24"/>
        </w:rPr>
      </w:pPr>
      <w:r>
        <w:rPr>
          <w:rFonts w:hint="eastAsia" w:ascii="宋体" w:hAnsi="宋体" w:eastAsia="宋体" w:cs="宋体"/>
          <w:bCs/>
          <w:sz w:val="24"/>
          <w:szCs w:val="24"/>
        </w:rPr>
        <w:t xml:space="preserve">2025年   月   日                </w:t>
      </w:r>
      <w:r>
        <w:rPr>
          <w:rFonts w:hint="eastAsia" w:cs="宋体"/>
          <w:bCs/>
          <w:sz w:val="24"/>
          <w:szCs w:val="24"/>
          <w:lang w:val="en-US" w:eastAsia="zh-CN"/>
        </w:rPr>
        <w:t xml:space="preserve"> </w:t>
      </w:r>
      <w:r>
        <w:rPr>
          <w:rFonts w:hint="eastAsia" w:ascii="宋体" w:hAnsi="宋体" w:eastAsia="宋体" w:cs="宋体"/>
          <w:bCs/>
          <w:sz w:val="24"/>
          <w:szCs w:val="24"/>
        </w:rPr>
        <w:t xml:space="preserve">  2025年   月   日</w:t>
      </w:r>
    </w:p>
    <w:p w14:paraId="5DA59721">
      <w:pPr>
        <w:rPr>
          <w:rFonts w:ascii="仿宋" w:hAnsi="仿宋" w:eastAsia="仿宋"/>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0D6B">
    <w:pPr>
      <w:pStyle w:val="8"/>
    </w:pPr>
    <w:r>
      <w:pict>
        <v:shape id="Text Box 1025" o:spid="_x0000_s1025" o:spt="202" type="#_x0000_t202" style="position:absolute;left:0pt;margin-top:0pt;height:13.8pt;width:12.05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B5AF4A1">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B463">
    <w:pPr>
      <w:pStyle w:val="8"/>
    </w:pPr>
    <w:r>
      <w:rPr>
        <w:sz w:val="18"/>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7ED35BC">
                <w:pPr>
                  <w:pStyle w:val="8"/>
                </w:pPr>
                <w:r>
                  <w:fldChar w:fldCharType="begin"/>
                </w:r>
                <w:r>
                  <w:instrText xml:space="preserve"> PAGE  \* MERGEFORMAT </w:instrText>
                </w:r>
                <w:r>
                  <w:fldChar w:fldCharType="separate"/>
                </w:r>
                <w: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FF2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802C4"/>
    <w:multiLevelType w:val="singleLevel"/>
    <w:tmpl w:val="B51802C4"/>
    <w:lvl w:ilvl="0" w:tentative="0">
      <w:start w:val="4"/>
      <w:numFmt w:val="decimal"/>
      <w:suff w:val="nothing"/>
      <w:lvlText w:val="%1、"/>
      <w:lvlJc w:val="left"/>
      <w:rPr>
        <w:rFonts w:cs="Times New Roman"/>
      </w:rPr>
    </w:lvl>
  </w:abstractNum>
  <w:abstractNum w:abstractNumId="1">
    <w:nsid w:val="E449E32C"/>
    <w:multiLevelType w:val="singleLevel"/>
    <w:tmpl w:val="E449E32C"/>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7789D"/>
    <w:rsid w:val="00000240"/>
    <w:rsid w:val="000002AA"/>
    <w:rsid w:val="00004A0F"/>
    <w:rsid w:val="00005F19"/>
    <w:rsid w:val="000061FC"/>
    <w:rsid w:val="00006C04"/>
    <w:rsid w:val="00006DC1"/>
    <w:rsid w:val="000155E8"/>
    <w:rsid w:val="00020A68"/>
    <w:rsid w:val="0002295D"/>
    <w:rsid w:val="00025ED2"/>
    <w:rsid w:val="000315AE"/>
    <w:rsid w:val="000414F4"/>
    <w:rsid w:val="00041BF3"/>
    <w:rsid w:val="000422FD"/>
    <w:rsid w:val="0005003A"/>
    <w:rsid w:val="000502AF"/>
    <w:rsid w:val="00050420"/>
    <w:rsid w:val="00055512"/>
    <w:rsid w:val="00055DB1"/>
    <w:rsid w:val="00061CEF"/>
    <w:rsid w:val="00062132"/>
    <w:rsid w:val="000657D0"/>
    <w:rsid w:val="000674E8"/>
    <w:rsid w:val="0008255C"/>
    <w:rsid w:val="0009285F"/>
    <w:rsid w:val="00092994"/>
    <w:rsid w:val="00092DF1"/>
    <w:rsid w:val="000950E1"/>
    <w:rsid w:val="000A58FB"/>
    <w:rsid w:val="000B00C1"/>
    <w:rsid w:val="000B07C7"/>
    <w:rsid w:val="000B0ABE"/>
    <w:rsid w:val="000B4B77"/>
    <w:rsid w:val="000B5143"/>
    <w:rsid w:val="000B5E47"/>
    <w:rsid w:val="000B6080"/>
    <w:rsid w:val="000C04EA"/>
    <w:rsid w:val="000C1377"/>
    <w:rsid w:val="000C294B"/>
    <w:rsid w:val="000C3223"/>
    <w:rsid w:val="000C746E"/>
    <w:rsid w:val="000D2074"/>
    <w:rsid w:val="000E21AC"/>
    <w:rsid w:val="000E73FB"/>
    <w:rsid w:val="000E7EFD"/>
    <w:rsid w:val="000F25B5"/>
    <w:rsid w:val="000F2CEA"/>
    <w:rsid w:val="000F2F32"/>
    <w:rsid w:val="000F60D2"/>
    <w:rsid w:val="000F7C43"/>
    <w:rsid w:val="001023C1"/>
    <w:rsid w:val="00103627"/>
    <w:rsid w:val="00106192"/>
    <w:rsid w:val="00107273"/>
    <w:rsid w:val="001077B1"/>
    <w:rsid w:val="00116940"/>
    <w:rsid w:val="00117330"/>
    <w:rsid w:val="00121334"/>
    <w:rsid w:val="00122F95"/>
    <w:rsid w:val="00125BEC"/>
    <w:rsid w:val="00131D15"/>
    <w:rsid w:val="00135270"/>
    <w:rsid w:val="00136223"/>
    <w:rsid w:val="00142469"/>
    <w:rsid w:val="00142845"/>
    <w:rsid w:val="00144206"/>
    <w:rsid w:val="001533A1"/>
    <w:rsid w:val="001607DC"/>
    <w:rsid w:val="00160816"/>
    <w:rsid w:val="001617CD"/>
    <w:rsid w:val="00162D8C"/>
    <w:rsid w:val="00162F30"/>
    <w:rsid w:val="00163B28"/>
    <w:rsid w:val="00163BE5"/>
    <w:rsid w:val="00163C24"/>
    <w:rsid w:val="00165B0F"/>
    <w:rsid w:val="00165DB1"/>
    <w:rsid w:val="001661DE"/>
    <w:rsid w:val="001725D4"/>
    <w:rsid w:val="00172AE5"/>
    <w:rsid w:val="00173D1B"/>
    <w:rsid w:val="00173DEE"/>
    <w:rsid w:val="00175C3F"/>
    <w:rsid w:val="001850CB"/>
    <w:rsid w:val="001870F3"/>
    <w:rsid w:val="0019478D"/>
    <w:rsid w:val="00196669"/>
    <w:rsid w:val="001A0B1E"/>
    <w:rsid w:val="001A2E90"/>
    <w:rsid w:val="001A45CF"/>
    <w:rsid w:val="001A7C7B"/>
    <w:rsid w:val="001B61EF"/>
    <w:rsid w:val="001B746C"/>
    <w:rsid w:val="001C0760"/>
    <w:rsid w:val="001C0E20"/>
    <w:rsid w:val="001C3600"/>
    <w:rsid w:val="001C61FE"/>
    <w:rsid w:val="001C661A"/>
    <w:rsid w:val="001D1AA2"/>
    <w:rsid w:val="001D3446"/>
    <w:rsid w:val="001D4823"/>
    <w:rsid w:val="001D5E03"/>
    <w:rsid w:val="001E228E"/>
    <w:rsid w:val="001F1985"/>
    <w:rsid w:val="001F1DB3"/>
    <w:rsid w:val="00200D87"/>
    <w:rsid w:val="00202901"/>
    <w:rsid w:val="00202AED"/>
    <w:rsid w:val="00203349"/>
    <w:rsid w:val="00211AD0"/>
    <w:rsid w:val="00211E7F"/>
    <w:rsid w:val="002157A0"/>
    <w:rsid w:val="00215856"/>
    <w:rsid w:val="00221541"/>
    <w:rsid w:val="0022652A"/>
    <w:rsid w:val="00230030"/>
    <w:rsid w:val="0023084E"/>
    <w:rsid w:val="00233574"/>
    <w:rsid w:val="002356C1"/>
    <w:rsid w:val="00237FAA"/>
    <w:rsid w:val="002414AD"/>
    <w:rsid w:val="002419B7"/>
    <w:rsid w:val="0024546D"/>
    <w:rsid w:val="00247F1B"/>
    <w:rsid w:val="00252CB6"/>
    <w:rsid w:val="00252CCA"/>
    <w:rsid w:val="0025334B"/>
    <w:rsid w:val="00256BD9"/>
    <w:rsid w:val="00260ACD"/>
    <w:rsid w:val="00262B26"/>
    <w:rsid w:val="00267986"/>
    <w:rsid w:val="00267C8F"/>
    <w:rsid w:val="002718AD"/>
    <w:rsid w:val="00276E47"/>
    <w:rsid w:val="00280269"/>
    <w:rsid w:val="0028092C"/>
    <w:rsid w:val="00286153"/>
    <w:rsid w:val="00286875"/>
    <w:rsid w:val="00287A5D"/>
    <w:rsid w:val="00292FC2"/>
    <w:rsid w:val="00294DA4"/>
    <w:rsid w:val="002A0088"/>
    <w:rsid w:val="002A12DE"/>
    <w:rsid w:val="002A27CE"/>
    <w:rsid w:val="002A3AD3"/>
    <w:rsid w:val="002A5F8A"/>
    <w:rsid w:val="002C2278"/>
    <w:rsid w:val="002C2387"/>
    <w:rsid w:val="002C35A9"/>
    <w:rsid w:val="002C53E9"/>
    <w:rsid w:val="002D3252"/>
    <w:rsid w:val="002D70E8"/>
    <w:rsid w:val="002E0386"/>
    <w:rsid w:val="002E0830"/>
    <w:rsid w:val="002E09C3"/>
    <w:rsid w:val="002E1453"/>
    <w:rsid w:val="002E2361"/>
    <w:rsid w:val="002E3113"/>
    <w:rsid w:val="002E43A1"/>
    <w:rsid w:val="002E6E2E"/>
    <w:rsid w:val="002F2AC2"/>
    <w:rsid w:val="002F402F"/>
    <w:rsid w:val="002F4F1C"/>
    <w:rsid w:val="003005E6"/>
    <w:rsid w:val="0030161C"/>
    <w:rsid w:val="00303EB7"/>
    <w:rsid w:val="00316629"/>
    <w:rsid w:val="00320E3F"/>
    <w:rsid w:val="00321BCB"/>
    <w:rsid w:val="003253F8"/>
    <w:rsid w:val="003262C0"/>
    <w:rsid w:val="00330220"/>
    <w:rsid w:val="00330F7E"/>
    <w:rsid w:val="003317B1"/>
    <w:rsid w:val="00331EE9"/>
    <w:rsid w:val="003405AC"/>
    <w:rsid w:val="003433CC"/>
    <w:rsid w:val="0034642D"/>
    <w:rsid w:val="0036350F"/>
    <w:rsid w:val="00373553"/>
    <w:rsid w:val="00374164"/>
    <w:rsid w:val="00377F63"/>
    <w:rsid w:val="003860F7"/>
    <w:rsid w:val="00395B17"/>
    <w:rsid w:val="00397000"/>
    <w:rsid w:val="003A2B4B"/>
    <w:rsid w:val="003A3095"/>
    <w:rsid w:val="003A7637"/>
    <w:rsid w:val="003B5419"/>
    <w:rsid w:val="003B623E"/>
    <w:rsid w:val="003C0529"/>
    <w:rsid w:val="003C162B"/>
    <w:rsid w:val="003D1A51"/>
    <w:rsid w:val="003D6F2B"/>
    <w:rsid w:val="003E0198"/>
    <w:rsid w:val="003E05C3"/>
    <w:rsid w:val="003E43B3"/>
    <w:rsid w:val="003F03FC"/>
    <w:rsid w:val="003F0400"/>
    <w:rsid w:val="003F16C6"/>
    <w:rsid w:val="003F1E1A"/>
    <w:rsid w:val="003F3740"/>
    <w:rsid w:val="003F60FB"/>
    <w:rsid w:val="003F753A"/>
    <w:rsid w:val="00404E17"/>
    <w:rsid w:val="00406533"/>
    <w:rsid w:val="0040750C"/>
    <w:rsid w:val="004101FD"/>
    <w:rsid w:val="004104B9"/>
    <w:rsid w:val="00416265"/>
    <w:rsid w:val="00416298"/>
    <w:rsid w:val="00423251"/>
    <w:rsid w:val="00426CBD"/>
    <w:rsid w:val="00432CBB"/>
    <w:rsid w:val="004345C3"/>
    <w:rsid w:val="00435709"/>
    <w:rsid w:val="004370BF"/>
    <w:rsid w:val="004423C7"/>
    <w:rsid w:val="00443714"/>
    <w:rsid w:val="0044432D"/>
    <w:rsid w:val="00445446"/>
    <w:rsid w:val="0044673C"/>
    <w:rsid w:val="004521C0"/>
    <w:rsid w:val="004538EF"/>
    <w:rsid w:val="0045530A"/>
    <w:rsid w:val="00461285"/>
    <w:rsid w:val="00467364"/>
    <w:rsid w:val="00474FEC"/>
    <w:rsid w:val="00475AB4"/>
    <w:rsid w:val="0047715A"/>
    <w:rsid w:val="00477C1F"/>
    <w:rsid w:val="0048139B"/>
    <w:rsid w:val="004838C1"/>
    <w:rsid w:val="00484AAD"/>
    <w:rsid w:val="00484F25"/>
    <w:rsid w:val="004907C4"/>
    <w:rsid w:val="004957C2"/>
    <w:rsid w:val="00496336"/>
    <w:rsid w:val="00496D46"/>
    <w:rsid w:val="00496FC0"/>
    <w:rsid w:val="004975CA"/>
    <w:rsid w:val="004A2139"/>
    <w:rsid w:val="004A5ADA"/>
    <w:rsid w:val="004A5C40"/>
    <w:rsid w:val="004A793B"/>
    <w:rsid w:val="004B74D1"/>
    <w:rsid w:val="004B771F"/>
    <w:rsid w:val="004C7E8B"/>
    <w:rsid w:val="004D2733"/>
    <w:rsid w:val="004D3EB0"/>
    <w:rsid w:val="004D56A7"/>
    <w:rsid w:val="004E50F5"/>
    <w:rsid w:val="004E640C"/>
    <w:rsid w:val="004E7352"/>
    <w:rsid w:val="004F2047"/>
    <w:rsid w:val="004F3CBE"/>
    <w:rsid w:val="004F778E"/>
    <w:rsid w:val="004F77F8"/>
    <w:rsid w:val="00505B47"/>
    <w:rsid w:val="0051335E"/>
    <w:rsid w:val="00515491"/>
    <w:rsid w:val="00525D80"/>
    <w:rsid w:val="00527F4B"/>
    <w:rsid w:val="005303B5"/>
    <w:rsid w:val="00536836"/>
    <w:rsid w:val="00550E21"/>
    <w:rsid w:val="005530DB"/>
    <w:rsid w:val="00554D65"/>
    <w:rsid w:val="005571EE"/>
    <w:rsid w:val="00561BAD"/>
    <w:rsid w:val="00561DC9"/>
    <w:rsid w:val="00562815"/>
    <w:rsid w:val="005635F2"/>
    <w:rsid w:val="00563BA4"/>
    <w:rsid w:val="005647DC"/>
    <w:rsid w:val="00565729"/>
    <w:rsid w:val="00567648"/>
    <w:rsid w:val="00572312"/>
    <w:rsid w:val="00572D4A"/>
    <w:rsid w:val="00574517"/>
    <w:rsid w:val="00575BCD"/>
    <w:rsid w:val="00576AE9"/>
    <w:rsid w:val="00576C01"/>
    <w:rsid w:val="00584C1B"/>
    <w:rsid w:val="005851F3"/>
    <w:rsid w:val="005908B8"/>
    <w:rsid w:val="005A2545"/>
    <w:rsid w:val="005A7F47"/>
    <w:rsid w:val="005B03A8"/>
    <w:rsid w:val="005B2284"/>
    <w:rsid w:val="005B3247"/>
    <w:rsid w:val="005C234C"/>
    <w:rsid w:val="005C2C4E"/>
    <w:rsid w:val="005C2E93"/>
    <w:rsid w:val="005D0BA7"/>
    <w:rsid w:val="005D2F49"/>
    <w:rsid w:val="005D4AB4"/>
    <w:rsid w:val="005E1178"/>
    <w:rsid w:val="005E172D"/>
    <w:rsid w:val="005E43D9"/>
    <w:rsid w:val="005E63E2"/>
    <w:rsid w:val="005E799C"/>
    <w:rsid w:val="005F032C"/>
    <w:rsid w:val="005F4912"/>
    <w:rsid w:val="005F69A3"/>
    <w:rsid w:val="005F7EC8"/>
    <w:rsid w:val="006167FF"/>
    <w:rsid w:val="006209FE"/>
    <w:rsid w:val="00627ED6"/>
    <w:rsid w:val="00633ECC"/>
    <w:rsid w:val="0063584D"/>
    <w:rsid w:val="0063596E"/>
    <w:rsid w:val="006370FC"/>
    <w:rsid w:val="00640EBB"/>
    <w:rsid w:val="0064444B"/>
    <w:rsid w:val="0064517C"/>
    <w:rsid w:val="00653BFF"/>
    <w:rsid w:val="006562CE"/>
    <w:rsid w:val="00666A66"/>
    <w:rsid w:val="00672E46"/>
    <w:rsid w:val="0067576B"/>
    <w:rsid w:val="0068057B"/>
    <w:rsid w:val="00680AC5"/>
    <w:rsid w:val="00687518"/>
    <w:rsid w:val="006932B1"/>
    <w:rsid w:val="006A1DA5"/>
    <w:rsid w:val="006B3064"/>
    <w:rsid w:val="006B43B7"/>
    <w:rsid w:val="006B7A11"/>
    <w:rsid w:val="006D0261"/>
    <w:rsid w:val="006D0DF5"/>
    <w:rsid w:val="006D1975"/>
    <w:rsid w:val="006D43E3"/>
    <w:rsid w:val="006E2D72"/>
    <w:rsid w:val="006F1188"/>
    <w:rsid w:val="006F3BAE"/>
    <w:rsid w:val="006F3FB3"/>
    <w:rsid w:val="00700455"/>
    <w:rsid w:val="00700D97"/>
    <w:rsid w:val="00701F0E"/>
    <w:rsid w:val="00702366"/>
    <w:rsid w:val="00702D10"/>
    <w:rsid w:val="007040B3"/>
    <w:rsid w:val="0070561A"/>
    <w:rsid w:val="00706D3B"/>
    <w:rsid w:val="007077FC"/>
    <w:rsid w:val="0071096D"/>
    <w:rsid w:val="00712655"/>
    <w:rsid w:val="0071445E"/>
    <w:rsid w:val="007202B3"/>
    <w:rsid w:val="00723036"/>
    <w:rsid w:val="007358E9"/>
    <w:rsid w:val="0074031B"/>
    <w:rsid w:val="007510C6"/>
    <w:rsid w:val="0075269B"/>
    <w:rsid w:val="00755BE8"/>
    <w:rsid w:val="007568B8"/>
    <w:rsid w:val="00760429"/>
    <w:rsid w:val="007604D6"/>
    <w:rsid w:val="00762C48"/>
    <w:rsid w:val="0076476F"/>
    <w:rsid w:val="00764828"/>
    <w:rsid w:val="007661F2"/>
    <w:rsid w:val="00766848"/>
    <w:rsid w:val="00770353"/>
    <w:rsid w:val="0077275A"/>
    <w:rsid w:val="007732F8"/>
    <w:rsid w:val="00773D21"/>
    <w:rsid w:val="00783683"/>
    <w:rsid w:val="00784063"/>
    <w:rsid w:val="0078623F"/>
    <w:rsid w:val="007867E2"/>
    <w:rsid w:val="00797505"/>
    <w:rsid w:val="00797BEC"/>
    <w:rsid w:val="007A01A1"/>
    <w:rsid w:val="007A16F6"/>
    <w:rsid w:val="007A2A9D"/>
    <w:rsid w:val="007B32F2"/>
    <w:rsid w:val="007B417B"/>
    <w:rsid w:val="007B7B1A"/>
    <w:rsid w:val="007C2A72"/>
    <w:rsid w:val="007C761E"/>
    <w:rsid w:val="007D0945"/>
    <w:rsid w:val="007D2E4B"/>
    <w:rsid w:val="007D53B8"/>
    <w:rsid w:val="007D7252"/>
    <w:rsid w:val="007D7FC6"/>
    <w:rsid w:val="007E263B"/>
    <w:rsid w:val="007E4E94"/>
    <w:rsid w:val="007F04A9"/>
    <w:rsid w:val="007F2442"/>
    <w:rsid w:val="007F2DB4"/>
    <w:rsid w:val="007F366B"/>
    <w:rsid w:val="007F3E3F"/>
    <w:rsid w:val="007F5280"/>
    <w:rsid w:val="00800237"/>
    <w:rsid w:val="00801607"/>
    <w:rsid w:val="008029F2"/>
    <w:rsid w:val="00803AC7"/>
    <w:rsid w:val="008070E0"/>
    <w:rsid w:val="008108B3"/>
    <w:rsid w:val="00823752"/>
    <w:rsid w:val="00830468"/>
    <w:rsid w:val="008304D1"/>
    <w:rsid w:val="00834F01"/>
    <w:rsid w:val="00840045"/>
    <w:rsid w:val="00842047"/>
    <w:rsid w:val="008457D1"/>
    <w:rsid w:val="00846462"/>
    <w:rsid w:val="00846C58"/>
    <w:rsid w:val="00846F1C"/>
    <w:rsid w:val="008524C8"/>
    <w:rsid w:val="00852929"/>
    <w:rsid w:val="0085324D"/>
    <w:rsid w:val="0087076A"/>
    <w:rsid w:val="008840EA"/>
    <w:rsid w:val="008903CF"/>
    <w:rsid w:val="00890FF7"/>
    <w:rsid w:val="008937C5"/>
    <w:rsid w:val="008A1D41"/>
    <w:rsid w:val="008A2C14"/>
    <w:rsid w:val="008A597C"/>
    <w:rsid w:val="008B1B1A"/>
    <w:rsid w:val="008B3EE8"/>
    <w:rsid w:val="008B49B4"/>
    <w:rsid w:val="008B618D"/>
    <w:rsid w:val="008B6F1C"/>
    <w:rsid w:val="008C2045"/>
    <w:rsid w:val="008C4D88"/>
    <w:rsid w:val="008C5709"/>
    <w:rsid w:val="008C5B82"/>
    <w:rsid w:val="008C7277"/>
    <w:rsid w:val="008D0A05"/>
    <w:rsid w:val="008D0C2F"/>
    <w:rsid w:val="008D3CB7"/>
    <w:rsid w:val="008E092D"/>
    <w:rsid w:val="008E6E6C"/>
    <w:rsid w:val="008F2D01"/>
    <w:rsid w:val="008F481C"/>
    <w:rsid w:val="008F4C29"/>
    <w:rsid w:val="008F536D"/>
    <w:rsid w:val="0090059C"/>
    <w:rsid w:val="00900D28"/>
    <w:rsid w:val="009037C0"/>
    <w:rsid w:val="009042A7"/>
    <w:rsid w:val="00910861"/>
    <w:rsid w:val="00915991"/>
    <w:rsid w:val="00915D28"/>
    <w:rsid w:val="009268F9"/>
    <w:rsid w:val="00931353"/>
    <w:rsid w:val="00932F8E"/>
    <w:rsid w:val="00934271"/>
    <w:rsid w:val="00937128"/>
    <w:rsid w:val="009502F5"/>
    <w:rsid w:val="00950DFC"/>
    <w:rsid w:val="00954E1D"/>
    <w:rsid w:val="00956D91"/>
    <w:rsid w:val="009575DA"/>
    <w:rsid w:val="009620EF"/>
    <w:rsid w:val="00963094"/>
    <w:rsid w:val="009652C2"/>
    <w:rsid w:val="009670A2"/>
    <w:rsid w:val="00970F5E"/>
    <w:rsid w:val="00971EC7"/>
    <w:rsid w:val="00972F35"/>
    <w:rsid w:val="00977795"/>
    <w:rsid w:val="0097789D"/>
    <w:rsid w:val="009807B0"/>
    <w:rsid w:val="00983659"/>
    <w:rsid w:val="00986190"/>
    <w:rsid w:val="0098791F"/>
    <w:rsid w:val="009904BD"/>
    <w:rsid w:val="009911D5"/>
    <w:rsid w:val="00992AAD"/>
    <w:rsid w:val="00994F3A"/>
    <w:rsid w:val="00995D90"/>
    <w:rsid w:val="00995E2F"/>
    <w:rsid w:val="00997B34"/>
    <w:rsid w:val="009A0FE8"/>
    <w:rsid w:val="009A3394"/>
    <w:rsid w:val="009A456E"/>
    <w:rsid w:val="009A5D28"/>
    <w:rsid w:val="009B6204"/>
    <w:rsid w:val="009C5BF6"/>
    <w:rsid w:val="009C5E07"/>
    <w:rsid w:val="009C7B5C"/>
    <w:rsid w:val="009C7C42"/>
    <w:rsid w:val="009D2788"/>
    <w:rsid w:val="009E0600"/>
    <w:rsid w:val="009E61CA"/>
    <w:rsid w:val="009F12D2"/>
    <w:rsid w:val="009F1E67"/>
    <w:rsid w:val="009F4880"/>
    <w:rsid w:val="009F5C44"/>
    <w:rsid w:val="009F669B"/>
    <w:rsid w:val="009F6865"/>
    <w:rsid w:val="00A01683"/>
    <w:rsid w:val="00A03E18"/>
    <w:rsid w:val="00A05F2D"/>
    <w:rsid w:val="00A062FA"/>
    <w:rsid w:val="00A167A1"/>
    <w:rsid w:val="00A241D3"/>
    <w:rsid w:val="00A2496D"/>
    <w:rsid w:val="00A31037"/>
    <w:rsid w:val="00A33746"/>
    <w:rsid w:val="00A36C90"/>
    <w:rsid w:val="00A3773E"/>
    <w:rsid w:val="00A37A7E"/>
    <w:rsid w:val="00A41370"/>
    <w:rsid w:val="00A42125"/>
    <w:rsid w:val="00A436BB"/>
    <w:rsid w:val="00A43BBB"/>
    <w:rsid w:val="00A466C1"/>
    <w:rsid w:val="00A47066"/>
    <w:rsid w:val="00A47E73"/>
    <w:rsid w:val="00A50EB7"/>
    <w:rsid w:val="00A54450"/>
    <w:rsid w:val="00A549F0"/>
    <w:rsid w:val="00A55B87"/>
    <w:rsid w:val="00A560F3"/>
    <w:rsid w:val="00A62103"/>
    <w:rsid w:val="00A667CE"/>
    <w:rsid w:val="00A70450"/>
    <w:rsid w:val="00A72D8B"/>
    <w:rsid w:val="00A732E0"/>
    <w:rsid w:val="00A73564"/>
    <w:rsid w:val="00A762FD"/>
    <w:rsid w:val="00A771B0"/>
    <w:rsid w:val="00A77C9D"/>
    <w:rsid w:val="00A871F1"/>
    <w:rsid w:val="00A91FAB"/>
    <w:rsid w:val="00A96440"/>
    <w:rsid w:val="00AA45EB"/>
    <w:rsid w:val="00AA4782"/>
    <w:rsid w:val="00AA5EF1"/>
    <w:rsid w:val="00AB2BFB"/>
    <w:rsid w:val="00AB4ACA"/>
    <w:rsid w:val="00AB4C63"/>
    <w:rsid w:val="00AC2512"/>
    <w:rsid w:val="00AC594A"/>
    <w:rsid w:val="00AD1018"/>
    <w:rsid w:val="00AD7BD3"/>
    <w:rsid w:val="00AE1E53"/>
    <w:rsid w:val="00AE209A"/>
    <w:rsid w:val="00AE21A6"/>
    <w:rsid w:val="00AE413E"/>
    <w:rsid w:val="00AE6786"/>
    <w:rsid w:val="00AF0B41"/>
    <w:rsid w:val="00AF13FC"/>
    <w:rsid w:val="00AF45BC"/>
    <w:rsid w:val="00B11B9E"/>
    <w:rsid w:val="00B14CE3"/>
    <w:rsid w:val="00B1554C"/>
    <w:rsid w:val="00B21A82"/>
    <w:rsid w:val="00B27D13"/>
    <w:rsid w:val="00B32AEF"/>
    <w:rsid w:val="00B3528C"/>
    <w:rsid w:val="00B40C2C"/>
    <w:rsid w:val="00B40F90"/>
    <w:rsid w:val="00B472BE"/>
    <w:rsid w:val="00B479FF"/>
    <w:rsid w:val="00B5796A"/>
    <w:rsid w:val="00B63772"/>
    <w:rsid w:val="00B64B93"/>
    <w:rsid w:val="00B64D3C"/>
    <w:rsid w:val="00B6632A"/>
    <w:rsid w:val="00B669E4"/>
    <w:rsid w:val="00B70F93"/>
    <w:rsid w:val="00B74F0D"/>
    <w:rsid w:val="00B777E8"/>
    <w:rsid w:val="00B8525E"/>
    <w:rsid w:val="00B87B25"/>
    <w:rsid w:val="00BA03BB"/>
    <w:rsid w:val="00BA4948"/>
    <w:rsid w:val="00BB3CCF"/>
    <w:rsid w:val="00BB4E81"/>
    <w:rsid w:val="00BC49A4"/>
    <w:rsid w:val="00BC5CF7"/>
    <w:rsid w:val="00BD5B49"/>
    <w:rsid w:val="00BD650D"/>
    <w:rsid w:val="00BE5B43"/>
    <w:rsid w:val="00BE7212"/>
    <w:rsid w:val="00BF61FA"/>
    <w:rsid w:val="00BF65AA"/>
    <w:rsid w:val="00BF7C3F"/>
    <w:rsid w:val="00C001A9"/>
    <w:rsid w:val="00C00E48"/>
    <w:rsid w:val="00C12728"/>
    <w:rsid w:val="00C15F8A"/>
    <w:rsid w:val="00C20748"/>
    <w:rsid w:val="00C2647F"/>
    <w:rsid w:val="00C31BC6"/>
    <w:rsid w:val="00C3258D"/>
    <w:rsid w:val="00C32A0B"/>
    <w:rsid w:val="00C3744D"/>
    <w:rsid w:val="00C37AAE"/>
    <w:rsid w:val="00C41630"/>
    <w:rsid w:val="00C503EF"/>
    <w:rsid w:val="00C53FFD"/>
    <w:rsid w:val="00C60805"/>
    <w:rsid w:val="00C6469E"/>
    <w:rsid w:val="00C64FF6"/>
    <w:rsid w:val="00C75066"/>
    <w:rsid w:val="00C77A4B"/>
    <w:rsid w:val="00C77ADE"/>
    <w:rsid w:val="00C80262"/>
    <w:rsid w:val="00C81038"/>
    <w:rsid w:val="00C870E2"/>
    <w:rsid w:val="00C905FF"/>
    <w:rsid w:val="00C912B7"/>
    <w:rsid w:val="00C93C70"/>
    <w:rsid w:val="00CA002B"/>
    <w:rsid w:val="00CA11CE"/>
    <w:rsid w:val="00CA1747"/>
    <w:rsid w:val="00CA17EC"/>
    <w:rsid w:val="00CA1CEA"/>
    <w:rsid w:val="00CA2DD9"/>
    <w:rsid w:val="00CA6FFB"/>
    <w:rsid w:val="00CB38E9"/>
    <w:rsid w:val="00CB42FD"/>
    <w:rsid w:val="00CB43DE"/>
    <w:rsid w:val="00CB4B45"/>
    <w:rsid w:val="00CB7057"/>
    <w:rsid w:val="00CC0BAE"/>
    <w:rsid w:val="00CC241C"/>
    <w:rsid w:val="00CD1A07"/>
    <w:rsid w:val="00CE17F6"/>
    <w:rsid w:val="00CE1F32"/>
    <w:rsid w:val="00CE3F04"/>
    <w:rsid w:val="00CE4656"/>
    <w:rsid w:val="00CF129F"/>
    <w:rsid w:val="00CF1FCF"/>
    <w:rsid w:val="00CF403F"/>
    <w:rsid w:val="00CF4A44"/>
    <w:rsid w:val="00CF5D8D"/>
    <w:rsid w:val="00D00398"/>
    <w:rsid w:val="00D01413"/>
    <w:rsid w:val="00D03E7F"/>
    <w:rsid w:val="00D06879"/>
    <w:rsid w:val="00D12899"/>
    <w:rsid w:val="00D12BF7"/>
    <w:rsid w:val="00D1396C"/>
    <w:rsid w:val="00D13D74"/>
    <w:rsid w:val="00D17BE4"/>
    <w:rsid w:val="00D21727"/>
    <w:rsid w:val="00D27AC0"/>
    <w:rsid w:val="00D32059"/>
    <w:rsid w:val="00D344D8"/>
    <w:rsid w:val="00D40B84"/>
    <w:rsid w:val="00D40EF2"/>
    <w:rsid w:val="00D42C3B"/>
    <w:rsid w:val="00D436A6"/>
    <w:rsid w:val="00D43F6B"/>
    <w:rsid w:val="00D44791"/>
    <w:rsid w:val="00D50C47"/>
    <w:rsid w:val="00D51891"/>
    <w:rsid w:val="00D54E1E"/>
    <w:rsid w:val="00D5599D"/>
    <w:rsid w:val="00D55BDD"/>
    <w:rsid w:val="00D6221A"/>
    <w:rsid w:val="00D652AC"/>
    <w:rsid w:val="00D7007B"/>
    <w:rsid w:val="00D7042B"/>
    <w:rsid w:val="00D705A5"/>
    <w:rsid w:val="00D747F2"/>
    <w:rsid w:val="00D752C9"/>
    <w:rsid w:val="00D75C50"/>
    <w:rsid w:val="00D774D6"/>
    <w:rsid w:val="00D777EE"/>
    <w:rsid w:val="00D813C6"/>
    <w:rsid w:val="00D82C51"/>
    <w:rsid w:val="00D84FBE"/>
    <w:rsid w:val="00D90DE3"/>
    <w:rsid w:val="00D94E92"/>
    <w:rsid w:val="00D97C53"/>
    <w:rsid w:val="00DA0D5D"/>
    <w:rsid w:val="00DA5DA2"/>
    <w:rsid w:val="00DA7FC3"/>
    <w:rsid w:val="00DB633E"/>
    <w:rsid w:val="00DC58D7"/>
    <w:rsid w:val="00DD00F9"/>
    <w:rsid w:val="00DE037D"/>
    <w:rsid w:val="00DE13B2"/>
    <w:rsid w:val="00DE6907"/>
    <w:rsid w:val="00DE6C63"/>
    <w:rsid w:val="00DF5745"/>
    <w:rsid w:val="00DF6955"/>
    <w:rsid w:val="00DF7A5C"/>
    <w:rsid w:val="00E00C72"/>
    <w:rsid w:val="00E03569"/>
    <w:rsid w:val="00E04578"/>
    <w:rsid w:val="00E05CBD"/>
    <w:rsid w:val="00E110E5"/>
    <w:rsid w:val="00E12F91"/>
    <w:rsid w:val="00E21959"/>
    <w:rsid w:val="00E24F73"/>
    <w:rsid w:val="00E256EF"/>
    <w:rsid w:val="00E348B3"/>
    <w:rsid w:val="00E541F2"/>
    <w:rsid w:val="00E54C51"/>
    <w:rsid w:val="00E5606E"/>
    <w:rsid w:val="00E56575"/>
    <w:rsid w:val="00E579E9"/>
    <w:rsid w:val="00E63A28"/>
    <w:rsid w:val="00E64E61"/>
    <w:rsid w:val="00E7061A"/>
    <w:rsid w:val="00E8177C"/>
    <w:rsid w:val="00E81BFF"/>
    <w:rsid w:val="00E84EBA"/>
    <w:rsid w:val="00E87104"/>
    <w:rsid w:val="00E87162"/>
    <w:rsid w:val="00E87DA8"/>
    <w:rsid w:val="00E91118"/>
    <w:rsid w:val="00E9232C"/>
    <w:rsid w:val="00EA2481"/>
    <w:rsid w:val="00EB0FAA"/>
    <w:rsid w:val="00EB1665"/>
    <w:rsid w:val="00EC26C6"/>
    <w:rsid w:val="00EC324D"/>
    <w:rsid w:val="00EC4F58"/>
    <w:rsid w:val="00EC66C1"/>
    <w:rsid w:val="00EE2448"/>
    <w:rsid w:val="00EE2DB2"/>
    <w:rsid w:val="00EE4F8F"/>
    <w:rsid w:val="00EE7DD3"/>
    <w:rsid w:val="00EF0CD7"/>
    <w:rsid w:val="00EF1127"/>
    <w:rsid w:val="00EF1CC7"/>
    <w:rsid w:val="00EF2938"/>
    <w:rsid w:val="00EF5FCE"/>
    <w:rsid w:val="00EF69D7"/>
    <w:rsid w:val="00F02909"/>
    <w:rsid w:val="00F0659C"/>
    <w:rsid w:val="00F07A78"/>
    <w:rsid w:val="00F12195"/>
    <w:rsid w:val="00F14E31"/>
    <w:rsid w:val="00F17811"/>
    <w:rsid w:val="00F2041E"/>
    <w:rsid w:val="00F21015"/>
    <w:rsid w:val="00F2133B"/>
    <w:rsid w:val="00F23D3B"/>
    <w:rsid w:val="00F27D6D"/>
    <w:rsid w:val="00F30D04"/>
    <w:rsid w:val="00F364BE"/>
    <w:rsid w:val="00F4406E"/>
    <w:rsid w:val="00F45A87"/>
    <w:rsid w:val="00F52CD1"/>
    <w:rsid w:val="00F538AB"/>
    <w:rsid w:val="00F55F31"/>
    <w:rsid w:val="00F57065"/>
    <w:rsid w:val="00F60EDB"/>
    <w:rsid w:val="00F618B1"/>
    <w:rsid w:val="00F63CB6"/>
    <w:rsid w:val="00F65E45"/>
    <w:rsid w:val="00F72150"/>
    <w:rsid w:val="00F75170"/>
    <w:rsid w:val="00F759BC"/>
    <w:rsid w:val="00F91BF9"/>
    <w:rsid w:val="00F935FF"/>
    <w:rsid w:val="00F953DB"/>
    <w:rsid w:val="00F95ED6"/>
    <w:rsid w:val="00F96CE5"/>
    <w:rsid w:val="00F97727"/>
    <w:rsid w:val="00F978B6"/>
    <w:rsid w:val="00FA014F"/>
    <w:rsid w:val="00FA1964"/>
    <w:rsid w:val="00FA38E0"/>
    <w:rsid w:val="00FA4235"/>
    <w:rsid w:val="00FB055E"/>
    <w:rsid w:val="00FB0E33"/>
    <w:rsid w:val="00FC145B"/>
    <w:rsid w:val="00FC241A"/>
    <w:rsid w:val="00FC3FFF"/>
    <w:rsid w:val="00FC612B"/>
    <w:rsid w:val="00FD2912"/>
    <w:rsid w:val="00FD6177"/>
    <w:rsid w:val="00FD6479"/>
    <w:rsid w:val="00FE09BA"/>
    <w:rsid w:val="00FE1304"/>
    <w:rsid w:val="00FE5DB5"/>
    <w:rsid w:val="00FE78D7"/>
    <w:rsid w:val="00FF4A79"/>
    <w:rsid w:val="00FF4C65"/>
    <w:rsid w:val="00FF659E"/>
    <w:rsid w:val="00FF67DE"/>
    <w:rsid w:val="01256271"/>
    <w:rsid w:val="01402580"/>
    <w:rsid w:val="01643271"/>
    <w:rsid w:val="01713C67"/>
    <w:rsid w:val="018F40D4"/>
    <w:rsid w:val="02AB08AC"/>
    <w:rsid w:val="02B42E5D"/>
    <w:rsid w:val="030B1FD0"/>
    <w:rsid w:val="041022FD"/>
    <w:rsid w:val="04114A6C"/>
    <w:rsid w:val="05E104E8"/>
    <w:rsid w:val="06197917"/>
    <w:rsid w:val="064A04F6"/>
    <w:rsid w:val="06562ECE"/>
    <w:rsid w:val="06633D4A"/>
    <w:rsid w:val="0697204E"/>
    <w:rsid w:val="06DD6CF8"/>
    <w:rsid w:val="077018D6"/>
    <w:rsid w:val="07A820A8"/>
    <w:rsid w:val="07E7079C"/>
    <w:rsid w:val="080F511C"/>
    <w:rsid w:val="09995886"/>
    <w:rsid w:val="0A004B9B"/>
    <w:rsid w:val="0A7C25BD"/>
    <w:rsid w:val="0B854590"/>
    <w:rsid w:val="0B870EA9"/>
    <w:rsid w:val="0C421B68"/>
    <w:rsid w:val="0C5C00C3"/>
    <w:rsid w:val="0CA25F96"/>
    <w:rsid w:val="0CF5110C"/>
    <w:rsid w:val="0D2739E0"/>
    <w:rsid w:val="0D47240B"/>
    <w:rsid w:val="0DBF3CE2"/>
    <w:rsid w:val="0E091E3B"/>
    <w:rsid w:val="0E135B05"/>
    <w:rsid w:val="0E6D5A1A"/>
    <w:rsid w:val="0E9F24DE"/>
    <w:rsid w:val="0EFA0A6D"/>
    <w:rsid w:val="0F586C49"/>
    <w:rsid w:val="0F765E4D"/>
    <w:rsid w:val="0FD87810"/>
    <w:rsid w:val="1052598B"/>
    <w:rsid w:val="10CE0AE0"/>
    <w:rsid w:val="11454E3D"/>
    <w:rsid w:val="12103BDC"/>
    <w:rsid w:val="1261224E"/>
    <w:rsid w:val="12746B3E"/>
    <w:rsid w:val="131275B4"/>
    <w:rsid w:val="13F21AAE"/>
    <w:rsid w:val="141325CB"/>
    <w:rsid w:val="14405301"/>
    <w:rsid w:val="144A4A08"/>
    <w:rsid w:val="156655C5"/>
    <w:rsid w:val="1601742D"/>
    <w:rsid w:val="166F3614"/>
    <w:rsid w:val="16977320"/>
    <w:rsid w:val="16E85105"/>
    <w:rsid w:val="177F70F5"/>
    <w:rsid w:val="188462E0"/>
    <w:rsid w:val="18B80EE2"/>
    <w:rsid w:val="18C03A85"/>
    <w:rsid w:val="19843153"/>
    <w:rsid w:val="1A713BB5"/>
    <w:rsid w:val="1A784C1D"/>
    <w:rsid w:val="1B276184"/>
    <w:rsid w:val="1B4A5A45"/>
    <w:rsid w:val="1B670542"/>
    <w:rsid w:val="1C3B750A"/>
    <w:rsid w:val="1CC748A1"/>
    <w:rsid w:val="1CF46647"/>
    <w:rsid w:val="1D6A2233"/>
    <w:rsid w:val="1DA84B80"/>
    <w:rsid w:val="1DBE2E4F"/>
    <w:rsid w:val="1DBF4C7D"/>
    <w:rsid w:val="1DFE5B2B"/>
    <w:rsid w:val="1E514447"/>
    <w:rsid w:val="1E681B68"/>
    <w:rsid w:val="1EC6511D"/>
    <w:rsid w:val="1EEE12EE"/>
    <w:rsid w:val="1F33184A"/>
    <w:rsid w:val="1FBD7937"/>
    <w:rsid w:val="1FCA53E0"/>
    <w:rsid w:val="1FF0537D"/>
    <w:rsid w:val="20222471"/>
    <w:rsid w:val="20D56302"/>
    <w:rsid w:val="21263D59"/>
    <w:rsid w:val="21887491"/>
    <w:rsid w:val="218B3A04"/>
    <w:rsid w:val="219B0048"/>
    <w:rsid w:val="21BD4E25"/>
    <w:rsid w:val="21E4427C"/>
    <w:rsid w:val="22B361F3"/>
    <w:rsid w:val="22B50195"/>
    <w:rsid w:val="23155FE1"/>
    <w:rsid w:val="2514573F"/>
    <w:rsid w:val="25C34EDE"/>
    <w:rsid w:val="26073433"/>
    <w:rsid w:val="261B7F89"/>
    <w:rsid w:val="26650B57"/>
    <w:rsid w:val="27526F38"/>
    <w:rsid w:val="27CC45A9"/>
    <w:rsid w:val="286D313D"/>
    <w:rsid w:val="291E2290"/>
    <w:rsid w:val="29213BC3"/>
    <w:rsid w:val="299B1A64"/>
    <w:rsid w:val="29B85658"/>
    <w:rsid w:val="2A9673DF"/>
    <w:rsid w:val="2ADA0001"/>
    <w:rsid w:val="2B4818E8"/>
    <w:rsid w:val="2BD5304D"/>
    <w:rsid w:val="2C040574"/>
    <w:rsid w:val="2C125FD3"/>
    <w:rsid w:val="2C45285D"/>
    <w:rsid w:val="2C9029CC"/>
    <w:rsid w:val="2D1B61DE"/>
    <w:rsid w:val="2D643D3D"/>
    <w:rsid w:val="2D6B6728"/>
    <w:rsid w:val="2DD90416"/>
    <w:rsid w:val="2DED59A5"/>
    <w:rsid w:val="2DFE6CEC"/>
    <w:rsid w:val="2E052197"/>
    <w:rsid w:val="2E2D67EE"/>
    <w:rsid w:val="2E367ED1"/>
    <w:rsid w:val="2F383764"/>
    <w:rsid w:val="2FBE2ABC"/>
    <w:rsid w:val="2FF51E8E"/>
    <w:rsid w:val="30062401"/>
    <w:rsid w:val="31D37C65"/>
    <w:rsid w:val="31D84448"/>
    <w:rsid w:val="3219364D"/>
    <w:rsid w:val="327464D2"/>
    <w:rsid w:val="32CA00C1"/>
    <w:rsid w:val="333542DA"/>
    <w:rsid w:val="34041B26"/>
    <w:rsid w:val="34AC37B1"/>
    <w:rsid w:val="36656009"/>
    <w:rsid w:val="36E70C31"/>
    <w:rsid w:val="37104895"/>
    <w:rsid w:val="372B76A7"/>
    <w:rsid w:val="373241AB"/>
    <w:rsid w:val="37F615B2"/>
    <w:rsid w:val="380E6729"/>
    <w:rsid w:val="384C757C"/>
    <w:rsid w:val="38AC5895"/>
    <w:rsid w:val="39A72623"/>
    <w:rsid w:val="39AB2B24"/>
    <w:rsid w:val="39AE153B"/>
    <w:rsid w:val="39C30FFB"/>
    <w:rsid w:val="39C93226"/>
    <w:rsid w:val="39CC16F3"/>
    <w:rsid w:val="3A0E6D83"/>
    <w:rsid w:val="3A3A3DA1"/>
    <w:rsid w:val="3A4302A7"/>
    <w:rsid w:val="3AAC4DCF"/>
    <w:rsid w:val="3B2C570D"/>
    <w:rsid w:val="3B640CD2"/>
    <w:rsid w:val="3BBF2E18"/>
    <w:rsid w:val="3C2B3476"/>
    <w:rsid w:val="3C3753EC"/>
    <w:rsid w:val="3C877153"/>
    <w:rsid w:val="3CA306C7"/>
    <w:rsid w:val="3CE32FDD"/>
    <w:rsid w:val="3D102907"/>
    <w:rsid w:val="3D6F356A"/>
    <w:rsid w:val="3D981EC4"/>
    <w:rsid w:val="3DAC43A4"/>
    <w:rsid w:val="3E1A3826"/>
    <w:rsid w:val="3E505832"/>
    <w:rsid w:val="3EAA4F3A"/>
    <w:rsid w:val="3F035A62"/>
    <w:rsid w:val="3F447FC5"/>
    <w:rsid w:val="407C3DDB"/>
    <w:rsid w:val="41C91302"/>
    <w:rsid w:val="41DA34EF"/>
    <w:rsid w:val="41E931C0"/>
    <w:rsid w:val="42AF556E"/>
    <w:rsid w:val="42F64A08"/>
    <w:rsid w:val="43505CEA"/>
    <w:rsid w:val="4366067B"/>
    <w:rsid w:val="4397345D"/>
    <w:rsid w:val="43EC20AD"/>
    <w:rsid w:val="448977A3"/>
    <w:rsid w:val="45686E02"/>
    <w:rsid w:val="45BC0166"/>
    <w:rsid w:val="45C01409"/>
    <w:rsid w:val="45D23109"/>
    <w:rsid w:val="46534BD5"/>
    <w:rsid w:val="46553EB7"/>
    <w:rsid w:val="4719497F"/>
    <w:rsid w:val="472A7172"/>
    <w:rsid w:val="48740064"/>
    <w:rsid w:val="487632A6"/>
    <w:rsid w:val="487C06B9"/>
    <w:rsid w:val="49002091"/>
    <w:rsid w:val="49612D3D"/>
    <w:rsid w:val="4A91278E"/>
    <w:rsid w:val="4ACB478A"/>
    <w:rsid w:val="4BA00676"/>
    <w:rsid w:val="4C26448D"/>
    <w:rsid w:val="4CD9444B"/>
    <w:rsid w:val="4D9422E3"/>
    <w:rsid w:val="4DD31217"/>
    <w:rsid w:val="4E4C3FE1"/>
    <w:rsid w:val="4E7E00F5"/>
    <w:rsid w:val="4E8B578E"/>
    <w:rsid w:val="4F070721"/>
    <w:rsid w:val="4F330B62"/>
    <w:rsid w:val="4FF943B8"/>
    <w:rsid w:val="504457AD"/>
    <w:rsid w:val="522B7CAE"/>
    <w:rsid w:val="52DE6554"/>
    <w:rsid w:val="53012E47"/>
    <w:rsid w:val="53045923"/>
    <w:rsid w:val="53095CF7"/>
    <w:rsid w:val="53152E41"/>
    <w:rsid w:val="53881A1F"/>
    <w:rsid w:val="54731FBF"/>
    <w:rsid w:val="54A02435"/>
    <w:rsid w:val="553555A2"/>
    <w:rsid w:val="55587F70"/>
    <w:rsid w:val="55B366C8"/>
    <w:rsid w:val="55EC2887"/>
    <w:rsid w:val="5776377A"/>
    <w:rsid w:val="57885F13"/>
    <w:rsid w:val="57986CDA"/>
    <w:rsid w:val="57996AD6"/>
    <w:rsid w:val="57D331F8"/>
    <w:rsid w:val="57D70AB6"/>
    <w:rsid w:val="585211F1"/>
    <w:rsid w:val="58925CB9"/>
    <w:rsid w:val="58925E18"/>
    <w:rsid w:val="592D38A9"/>
    <w:rsid w:val="594B2845"/>
    <w:rsid w:val="59C71E91"/>
    <w:rsid w:val="5A123B20"/>
    <w:rsid w:val="5A50300C"/>
    <w:rsid w:val="5B6F6338"/>
    <w:rsid w:val="5BFF02FA"/>
    <w:rsid w:val="5C006F14"/>
    <w:rsid w:val="5C212D7C"/>
    <w:rsid w:val="5C3712D8"/>
    <w:rsid w:val="5C9F064D"/>
    <w:rsid w:val="5CB65D33"/>
    <w:rsid w:val="5CB91749"/>
    <w:rsid w:val="5CDA0481"/>
    <w:rsid w:val="5CDB7F3D"/>
    <w:rsid w:val="5CEA29F0"/>
    <w:rsid w:val="5D6B3448"/>
    <w:rsid w:val="5D92448F"/>
    <w:rsid w:val="5D9D1E09"/>
    <w:rsid w:val="5DE75928"/>
    <w:rsid w:val="5E487280"/>
    <w:rsid w:val="5E6270D1"/>
    <w:rsid w:val="5E6F771D"/>
    <w:rsid w:val="5E9142AA"/>
    <w:rsid w:val="5EAB0F46"/>
    <w:rsid w:val="5F461799"/>
    <w:rsid w:val="5F7815AF"/>
    <w:rsid w:val="607321E1"/>
    <w:rsid w:val="60987E33"/>
    <w:rsid w:val="614D5B15"/>
    <w:rsid w:val="61967695"/>
    <w:rsid w:val="633F6423"/>
    <w:rsid w:val="63691DE5"/>
    <w:rsid w:val="637E6D3E"/>
    <w:rsid w:val="64373B23"/>
    <w:rsid w:val="648719A7"/>
    <w:rsid w:val="64D43CC8"/>
    <w:rsid w:val="64D72E35"/>
    <w:rsid w:val="64E03611"/>
    <w:rsid w:val="66230A08"/>
    <w:rsid w:val="66DA1CB4"/>
    <w:rsid w:val="67877B4D"/>
    <w:rsid w:val="67973278"/>
    <w:rsid w:val="67C80096"/>
    <w:rsid w:val="67D0520A"/>
    <w:rsid w:val="68C1628E"/>
    <w:rsid w:val="69670BF2"/>
    <w:rsid w:val="69675199"/>
    <w:rsid w:val="6A2016DC"/>
    <w:rsid w:val="6A61612C"/>
    <w:rsid w:val="6A79714F"/>
    <w:rsid w:val="6B4200F1"/>
    <w:rsid w:val="6B9E546E"/>
    <w:rsid w:val="6C111DC4"/>
    <w:rsid w:val="6C2C329E"/>
    <w:rsid w:val="6C3F1E86"/>
    <w:rsid w:val="6C424155"/>
    <w:rsid w:val="6C8D08FA"/>
    <w:rsid w:val="6CBC3440"/>
    <w:rsid w:val="6D413005"/>
    <w:rsid w:val="6D5F1FA5"/>
    <w:rsid w:val="6E2644FE"/>
    <w:rsid w:val="6EB56CA2"/>
    <w:rsid w:val="6F362D50"/>
    <w:rsid w:val="6F87193F"/>
    <w:rsid w:val="708C64AC"/>
    <w:rsid w:val="717A6DC2"/>
    <w:rsid w:val="7197185C"/>
    <w:rsid w:val="71C25275"/>
    <w:rsid w:val="72942BAE"/>
    <w:rsid w:val="72EC6FE2"/>
    <w:rsid w:val="731E63CC"/>
    <w:rsid w:val="74335B26"/>
    <w:rsid w:val="74CA7A96"/>
    <w:rsid w:val="74EE42E4"/>
    <w:rsid w:val="75111A58"/>
    <w:rsid w:val="75575800"/>
    <w:rsid w:val="75A01794"/>
    <w:rsid w:val="75AA6709"/>
    <w:rsid w:val="75D342B7"/>
    <w:rsid w:val="75F80E88"/>
    <w:rsid w:val="75FE616F"/>
    <w:rsid w:val="7608139E"/>
    <w:rsid w:val="760F36E9"/>
    <w:rsid w:val="76AE2BAF"/>
    <w:rsid w:val="76F81E13"/>
    <w:rsid w:val="77004C5C"/>
    <w:rsid w:val="77622812"/>
    <w:rsid w:val="77FB1107"/>
    <w:rsid w:val="78110BAB"/>
    <w:rsid w:val="78BA6DFE"/>
    <w:rsid w:val="78F91122"/>
    <w:rsid w:val="79102977"/>
    <w:rsid w:val="79E3724D"/>
    <w:rsid w:val="7A9032DC"/>
    <w:rsid w:val="7B8E4E89"/>
    <w:rsid w:val="7BC91852"/>
    <w:rsid w:val="7BCE6A96"/>
    <w:rsid w:val="7D6C2D0E"/>
    <w:rsid w:val="7DA77B60"/>
    <w:rsid w:val="7DC87CE2"/>
    <w:rsid w:val="7DCD2449"/>
    <w:rsid w:val="7E483740"/>
    <w:rsid w:val="7E742F12"/>
    <w:rsid w:val="7E9714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480" w:lineRule="auto"/>
      <w:jc w:val="center"/>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Indent"/>
    <w:basedOn w:val="1"/>
    <w:link w:val="19"/>
    <w:uiPriority w:val="99"/>
    <w:pPr>
      <w:spacing w:after="120"/>
      <w:ind w:left="420" w:leftChars="200"/>
    </w:pPr>
    <w:rPr>
      <w:kern w:val="0"/>
      <w:sz w:val="20"/>
    </w:rPr>
  </w:style>
  <w:style w:type="paragraph" w:styleId="5">
    <w:name w:val="Date"/>
    <w:basedOn w:val="1"/>
    <w:next w:val="1"/>
    <w:link w:val="33"/>
    <w:semiHidden/>
    <w:unhideWhenUsed/>
    <w:qFormat/>
    <w:locked/>
    <w:uiPriority w:val="0"/>
    <w:pPr>
      <w:widowControl/>
      <w:ind w:left="100" w:leftChars="2500"/>
      <w:jc w:val="left"/>
    </w:pPr>
    <w:rPr>
      <w:kern w:val="0"/>
      <w:sz w:val="24"/>
    </w:rPr>
  </w:style>
  <w:style w:type="paragraph" w:styleId="6">
    <w:name w:val="Body Text Indent 2"/>
    <w:basedOn w:val="1"/>
    <w:link w:val="20"/>
    <w:semiHidden/>
    <w:qFormat/>
    <w:uiPriority w:val="99"/>
    <w:pPr>
      <w:spacing w:after="120" w:line="480" w:lineRule="auto"/>
      <w:ind w:left="420" w:leftChars="200"/>
    </w:p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4"/>
    <w:qFormat/>
    <w:uiPriority w:val="99"/>
    <w:pPr>
      <w:spacing w:line="360" w:lineRule="auto"/>
      <w:ind w:firstLine="420"/>
    </w:pPr>
    <w:rPr>
      <w:sz w:val="24"/>
      <w:szCs w:val="20"/>
    </w:rPr>
  </w:style>
  <w:style w:type="paragraph" w:styleId="11">
    <w:name w:val="Normal (W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styleId="12">
    <w:name w:val="annotation subject"/>
    <w:basedOn w:val="3"/>
    <w:next w:val="3"/>
    <w:link w:val="25"/>
    <w:semiHidden/>
    <w:qFormat/>
    <w:uiPriority w:val="99"/>
    <w:rPr>
      <w:b/>
      <w:bCs/>
    </w:rPr>
  </w:style>
  <w:style w:type="table" w:styleId="14">
    <w:name w:val="Table Grid"/>
    <w:basedOn w:val="13"/>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99"/>
    <w:rPr>
      <w:rFonts w:cs="Times New Roman"/>
      <w:sz w:val="21"/>
      <w:szCs w:val="21"/>
    </w:rPr>
  </w:style>
  <w:style w:type="character" w:customStyle="1" w:styleId="17">
    <w:name w:val="标题 1 字符"/>
    <w:link w:val="2"/>
    <w:qFormat/>
    <w:locked/>
    <w:uiPriority w:val="0"/>
    <w:rPr>
      <w:rFonts w:ascii="Times New Roman" w:hAnsi="Times New Roman" w:eastAsia="宋体" w:cs="Times New Roman"/>
      <w:b/>
      <w:kern w:val="44"/>
      <w:sz w:val="44"/>
    </w:rPr>
  </w:style>
  <w:style w:type="character" w:customStyle="1" w:styleId="18">
    <w:name w:val="批注文字 字符"/>
    <w:link w:val="3"/>
    <w:qFormat/>
    <w:locked/>
    <w:uiPriority w:val="99"/>
    <w:rPr>
      <w:rFonts w:ascii="Times New Roman" w:hAnsi="Times New Roman" w:eastAsia="宋体" w:cs="Times New Roman"/>
      <w:sz w:val="24"/>
      <w:szCs w:val="24"/>
    </w:rPr>
  </w:style>
  <w:style w:type="character" w:customStyle="1" w:styleId="19">
    <w:name w:val="正文文本缩进 字符"/>
    <w:link w:val="4"/>
    <w:qFormat/>
    <w:locked/>
    <w:uiPriority w:val="99"/>
    <w:rPr>
      <w:rFonts w:ascii="Times New Roman" w:hAnsi="Times New Roman" w:eastAsia="宋体" w:cs="Times New Roman"/>
      <w:sz w:val="24"/>
    </w:rPr>
  </w:style>
  <w:style w:type="character" w:customStyle="1" w:styleId="20">
    <w:name w:val="正文文本缩进 2 字符"/>
    <w:link w:val="6"/>
    <w:semiHidden/>
    <w:qFormat/>
    <w:locked/>
    <w:uiPriority w:val="99"/>
    <w:rPr>
      <w:rFonts w:ascii="Times New Roman" w:hAnsi="Times New Roman" w:eastAsia="宋体" w:cs="Times New Roman"/>
      <w:sz w:val="24"/>
      <w:szCs w:val="24"/>
    </w:rPr>
  </w:style>
  <w:style w:type="character" w:customStyle="1" w:styleId="21">
    <w:name w:val="批注框文本 字符"/>
    <w:link w:val="7"/>
    <w:semiHidden/>
    <w:qFormat/>
    <w:locked/>
    <w:uiPriority w:val="99"/>
    <w:rPr>
      <w:rFonts w:ascii="Times New Roman" w:hAnsi="Times New Roman" w:eastAsia="宋体" w:cs="Times New Roman"/>
      <w:sz w:val="18"/>
      <w:szCs w:val="18"/>
    </w:rPr>
  </w:style>
  <w:style w:type="character" w:customStyle="1" w:styleId="22">
    <w:name w:val="页脚 字符"/>
    <w:link w:val="8"/>
    <w:qFormat/>
    <w:locked/>
    <w:uiPriority w:val="99"/>
    <w:rPr>
      <w:rFonts w:cs="Times New Roman"/>
      <w:sz w:val="18"/>
      <w:szCs w:val="18"/>
    </w:rPr>
  </w:style>
  <w:style w:type="character" w:customStyle="1" w:styleId="23">
    <w:name w:val="页眉 字符"/>
    <w:link w:val="9"/>
    <w:qFormat/>
    <w:locked/>
    <w:uiPriority w:val="99"/>
    <w:rPr>
      <w:rFonts w:cs="Times New Roman"/>
      <w:sz w:val="18"/>
      <w:szCs w:val="18"/>
    </w:rPr>
  </w:style>
  <w:style w:type="character" w:customStyle="1" w:styleId="24">
    <w:name w:val="正文文本缩进 3 字符"/>
    <w:link w:val="10"/>
    <w:qFormat/>
    <w:locked/>
    <w:uiPriority w:val="99"/>
    <w:rPr>
      <w:rFonts w:ascii="Times New Roman" w:hAnsi="Times New Roman" w:eastAsia="宋体" w:cs="Times New Roman"/>
      <w:sz w:val="20"/>
      <w:szCs w:val="20"/>
    </w:rPr>
  </w:style>
  <w:style w:type="character" w:customStyle="1" w:styleId="25">
    <w:name w:val="批注主题 字符"/>
    <w:link w:val="12"/>
    <w:semiHidden/>
    <w:qFormat/>
    <w:locked/>
    <w:uiPriority w:val="99"/>
    <w:rPr>
      <w:rFonts w:ascii="Times New Roman" w:hAnsi="Times New Roman" w:eastAsia="宋体" w:cs="Times New Roman"/>
      <w:b/>
      <w:bCs/>
      <w:sz w:val="24"/>
      <w:szCs w:val="24"/>
    </w:rPr>
  </w:style>
  <w:style w:type="character" w:customStyle="1" w:styleId="26">
    <w:name w:val="标题 1 Char"/>
    <w:qFormat/>
    <w:uiPriority w:val="99"/>
    <w:rPr>
      <w:rFonts w:ascii="Times New Roman" w:hAnsi="Times New Roman" w:eastAsia="宋体" w:cs="Times New Roman"/>
      <w:b/>
      <w:bCs/>
      <w:kern w:val="44"/>
      <w:sz w:val="44"/>
      <w:szCs w:val="44"/>
    </w:rPr>
  </w:style>
  <w:style w:type="character" w:customStyle="1" w:styleId="27">
    <w:name w:val="正文文本缩进 Char"/>
    <w:semiHidden/>
    <w:qFormat/>
    <w:uiPriority w:val="99"/>
    <w:rPr>
      <w:rFonts w:ascii="Times New Roman" w:hAnsi="Times New Roman" w:eastAsia="宋体" w:cs="Times New Roman"/>
      <w:sz w:val="24"/>
      <w:szCs w:val="24"/>
    </w:rPr>
  </w:style>
  <w:style w:type="paragraph" w:styleId="28">
    <w:name w:val="List Paragraph"/>
    <w:basedOn w:val="1"/>
    <w:qFormat/>
    <w:uiPriority w:val="99"/>
    <w:pPr>
      <w:ind w:firstLine="420" w:firstLineChars="200"/>
    </w:pPr>
  </w:style>
  <w:style w:type="paragraph" w:customStyle="1" w:styleId="29">
    <w:name w:val="正文 A"/>
    <w:qFormat/>
    <w:uiPriority w:val="99"/>
    <w:pPr>
      <w:widowControl w:val="0"/>
      <w:jc w:val="both"/>
    </w:pPr>
    <w:rPr>
      <w:rFonts w:ascii="Arial Unicode MS" w:hAnsi="Arial Unicode MS" w:eastAsia="新宋体" w:cs="Arial Unicode MS"/>
      <w:color w:val="000000"/>
      <w:kern w:val="2"/>
      <w:sz w:val="21"/>
      <w:szCs w:val="21"/>
      <w:u w:color="000000"/>
      <w:lang w:val="en-US" w:eastAsia="zh-CN" w:bidi="ar-SA"/>
    </w:rPr>
  </w:style>
  <w:style w:type="paragraph" w:customStyle="1" w:styleId="30">
    <w:name w:val="列出段落3"/>
    <w:basedOn w:val="1"/>
    <w:qFormat/>
    <w:uiPriority w:val="99"/>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0000"/>
    <w:basedOn w:val="1"/>
    <w:qFormat/>
    <w:uiPriority w:val="99"/>
    <w:pPr>
      <w:spacing w:beforeLines="50" w:afterLines="50" w:line="360" w:lineRule="auto"/>
      <w:ind w:firstLine="200" w:firstLineChars="200"/>
    </w:pPr>
    <w:rPr>
      <w:sz w:val="24"/>
    </w:rPr>
  </w:style>
  <w:style w:type="character" w:customStyle="1" w:styleId="33">
    <w:name w:val="日期 字符"/>
    <w:link w:val="5"/>
    <w:semiHidden/>
    <w:qFormat/>
    <w:uiPriority w:val="0"/>
    <w:rPr>
      <w:sz w:val="24"/>
      <w:szCs w:val="24"/>
    </w:rPr>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013DA-5900-4078-BED8-9EDEAB7641E5}">
  <ds:schemaRefs/>
</ds:datastoreItem>
</file>

<file path=docProps/app.xml><?xml version="1.0" encoding="utf-8"?>
<Properties xmlns="http://schemas.openxmlformats.org/officeDocument/2006/extended-properties" xmlns:vt="http://schemas.openxmlformats.org/officeDocument/2006/docPropsVTypes">
  <Template>Normal</Template>
  <Pages>25</Pages>
  <Words>15578</Words>
  <Characters>15776</Characters>
  <Lines>117</Lines>
  <Paragraphs>33</Paragraphs>
  <TotalTime>20</TotalTime>
  <ScaleCrop>false</ScaleCrop>
  <LinksUpToDate>false</LinksUpToDate>
  <CharactersWithSpaces>16108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2022-10-27T01:33:00Z</dcterms:created>
  <dc:creator>lenovo</dc:creator>
  <cp:lastModifiedBy>Czm</cp:lastModifiedBy>
  <cp:lastPrinted>2022-08-19T03:31:00Z</cp:lastPrinted>
  <dcterms:modified xsi:type="dcterms:W3CDTF">2025-07-07T03:09:28Z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eyJoZGlkIjoiMjcyZmI4M2YyOTI2ZTRmMzQzYmZlNGVlZWM4ZjMwNWIiLCJ1c2VySWQiOiIyMDI1MzIwNjgifQ==</vt:lpwstr>
  </property>
  <property fmtid="{D5CDD505-2E9C-101B-9397-08002B2CF9AE}" pid="4" name="ICV">
    <vt:lpwstr>CA97223779C54C19B84D32968099FD64_12</vt:lpwstr>
  </property>
</Properties>
</file>