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房屋租赁合同</w:t>
      </w:r>
    </w:p>
    <w:p>
      <w:pPr>
        <w:jc w:val="center"/>
        <w:rPr>
          <w:rFonts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2025年7月修订版</w:t>
      </w:r>
      <w:r>
        <w:rPr>
          <w:rFonts w:hint="eastAsia" w:ascii="楷体" w:hAnsi="楷体" w:eastAsia="楷体" w:cs="楷体"/>
          <w:sz w:val="24"/>
          <w:szCs w:val="24"/>
          <w:highlight w:val="none"/>
          <w:lang w:eastAsia="zh-CN"/>
        </w:rPr>
        <w:t>）</w:t>
      </w:r>
    </w:p>
    <w:p>
      <w:pPr>
        <w:rPr>
          <w:rFonts w:hint="eastAsia" w:ascii="楷体" w:hAnsi="楷体" w:eastAsia="楷体" w:cs="楷体"/>
          <w:b/>
          <w:bCs/>
          <w:color w:val="auto"/>
          <w:sz w:val="28"/>
          <w:szCs w:val="28"/>
          <w:highlight w:val="none"/>
        </w:rPr>
      </w:pPr>
    </w:p>
    <w:p>
      <w:pPr>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杭州城投资产集团有限公司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杭州市上城区婺江路319号蕙沣大厦17楼</w:t>
      </w:r>
    </w:p>
    <w:p>
      <w:pPr>
        <w:jc w:val="left"/>
        <w:rPr>
          <w:rFonts w:hint="eastAsia" w:ascii="楷体" w:hAnsi="楷体" w:eastAsia="楷体" w:cs="楷体"/>
          <w:b/>
          <w:bCs/>
          <w:color w:val="auto"/>
          <w:sz w:val="28"/>
          <w:szCs w:val="28"/>
          <w:highlight w:val="none"/>
        </w:rPr>
      </w:pPr>
    </w:p>
    <w:p>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rPr>
        <w:t>。租赁期自</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乙方装修期间对经营的影响，对首期租金予以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highlight w:val="none"/>
              </w:rPr>
            </w:pPr>
          </w:p>
        </w:tc>
        <w:tc>
          <w:tcPr>
            <w:tcW w:w="5092" w:type="dxa"/>
            <w:vAlign w:val="center"/>
          </w:tcPr>
          <w:p>
            <w:pPr>
              <w:ind w:firstLine="358" w:firstLineChars="128"/>
              <w:rPr>
                <w:rFonts w:ascii="楷体" w:hAnsi="楷体" w:eastAsia="楷体" w:cs="楷体"/>
                <w:color w:val="auto"/>
                <w:sz w:val="28"/>
                <w:szCs w:val="28"/>
                <w:highlight w:val="none"/>
              </w:rPr>
            </w:pPr>
          </w:p>
        </w:tc>
        <w:tc>
          <w:tcPr>
            <w:tcW w:w="2111" w:type="dxa"/>
            <w:vAlign w:val="center"/>
          </w:tcPr>
          <w:p>
            <w:pPr>
              <w:ind w:firstLine="358" w:firstLineChars="128"/>
              <w:jc w:val="center"/>
              <w:rPr>
                <w:rFonts w:ascii="楷体" w:hAnsi="楷体" w:eastAsia="楷体" w:cs="楷体"/>
                <w:color w:val="auto"/>
                <w:sz w:val="28"/>
                <w:szCs w:val="28"/>
                <w:highlight w:val="none"/>
              </w:rPr>
            </w:pPr>
          </w:p>
        </w:tc>
      </w:tr>
    </w:tbl>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甲方/杭州建易建设信息技术有限公司（以下简称建易公司）/杭州产权交易所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元整。由乙方在本合同签订后5个工作日内向甲方/建易公</w:t>
      </w:r>
      <w:r>
        <w:rPr>
          <w:rFonts w:hint="eastAsia" w:ascii="楷体" w:hAnsi="楷体" w:eastAsia="楷体" w:cs="楷体"/>
          <w:color w:val="auto"/>
          <w:sz w:val="28"/>
          <w:szCs w:val="28"/>
          <w:highlight w:val="none"/>
          <w:lang w:val="en-US" w:eastAsia="zh-CN"/>
        </w:rPr>
        <w:t>司</w:t>
      </w:r>
      <w:r>
        <w:rPr>
          <w:rFonts w:hint="eastAsia" w:ascii="楷体" w:hAnsi="楷体" w:eastAsia="楷体" w:cs="楷体"/>
          <w:color w:val="auto"/>
          <w:sz w:val="28"/>
          <w:szCs w:val="28"/>
          <w:highlight w:val="none"/>
        </w:rPr>
        <w:t>/</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支付。（本次交易成交后，按照甲方的要求，杭州产权交易所/建易公司在收到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开户银行：中国农业银行杭州钱江新城支行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银行账号：19025901040666661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1</w:t>
      </w:r>
      <w:bookmarkStart w:id="1" w:name="_GoBack"/>
      <w:bookmarkEnd w:id="1"/>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highlight w:val="none"/>
        </w:rPr>
        <w:t>向乙方索赔。</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highlight w:val="none"/>
        </w:rPr>
      </w:pPr>
    </w:p>
    <w:p>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地址：杭州市婺江路319号蕙沣大厦B座17层</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盖章后生效。</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highlight w:val="none"/>
        </w:rPr>
        <w:t>，甲方执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15.3.1 业务数据是指双方在履行合同过程中产生的全部数据</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乙方</w:t>
      </w:r>
      <w:r>
        <w:rPr>
          <w:rFonts w:hint="eastAsia" w:ascii="楷体" w:hAnsi="楷体" w:eastAsia="楷体" w:cs="楷体"/>
          <w:sz w:val="28"/>
          <w:szCs w:val="28"/>
          <w:highlight w:val="none"/>
          <w:lang w:val="en-US" w:eastAsia="zh-CN"/>
        </w:rPr>
        <w:t>知悉并同意</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甲方有权</w:t>
      </w:r>
      <w:r>
        <w:rPr>
          <w:rFonts w:hint="eastAsia" w:ascii="楷体" w:hAnsi="楷体" w:eastAsia="楷体" w:cs="楷体"/>
          <w:sz w:val="28"/>
          <w:szCs w:val="28"/>
          <w:highlight w:val="none"/>
        </w:rPr>
        <w:t>对业务数据</w:t>
      </w:r>
      <w:r>
        <w:rPr>
          <w:rFonts w:hint="eastAsia" w:ascii="楷体" w:hAnsi="楷体" w:eastAsia="楷体" w:cs="楷体"/>
          <w:sz w:val="28"/>
          <w:szCs w:val="28"/>
          <w:highlight w:val="none"/>
          <w:lang w:val="en-US" w:eastAsia="zh-CN"/>
        </w:rPr>
        <w:t>进行</w:t>
      </w:r>
      <w:r>
        <w:rPr>
          <w:rFonts w:hint="eastAsia" w:ascii="楷体" w:hAnsi="楷体" w:eastAsia="楷体" w:cs="楷体"/>
          <w:sz w:val="28"/>
          <w:szCs w:val="28"/>
          <w:highlight w:val="none"/>
        </w:rPr>
        <w:t>收集、清洗与整合</w:t>
      </w:r>
      <w:r>
        <w:rPr>
          <w:rFonts w:hint="eastAsia" w:ascii="楷体" w:hAnsi="楷体" w:eastAsia="楷体" w:cs="楷体"/>
          <w:sz w:val="28"/>
          <w:szCs w:val="28"/>
          <w:highlight w:val="none"/>
          <w:lang w:eastAsia="zh-CN"/>
        </w:rPr>
        <w:t>、分析与建模、</w:t>
      </w:r>
      <w:r>
        <w:rPr>
          <w:rFonts w:hint="eastAsia" w:ascii="楷体" w:hAnsi="楷体" w:eastAsia="楷体" w:cs="楷体"/>
          <w:sz w:val="28"/>
          <w:szCs w:val="28"/>
          <w:highlight w:val="none"/>
        </w:rPr>
        <w:t>存储</w:t>
      </w:r>
      <w:r>
        <w:rPr>
          <w:rFonts w:hint="eastAsia" w:ascii="楷体" w:hAnsi="楷体" w:eastAsia="楷体" w:cs="楷体"/>
          <w:sz w:val="28"/>
          <w:szCs w:val="28"/>
          <w:highlight w:val="none"/>
          <w:lang w:val="en-US" w:eastAsia="zh-CN"/>
        </w:rPr>
        <w:t>等</w:t>
      </w:r>
      <w:r>
        <w:rPr>
          <w:rFonts w:hint="eastAsia" w:ascii="楷体" w:hAnsi="楷体" w:eastAsia="楷体" w:cs="楷体"/>
          <w:sz w:val="28"/>
          <w:szCs w:val="28"/>
          <w:highlight w:val="none"/>
        </w:rPr>
        <w:t>处理</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并在符合法律法规的要求下，采取数据</w:t>
      </w:r>
      <w:r>
        <w:rPr>
          <w:rFonts w:hint="eastAsia" w:ascii="楷体" w:hAnsi="楷体" w:eastAsia="楷体" w:cs="楷体"/>
          <w:sz w:val="28"/>
          <w:szCs w:val="28"/>
          <w:highlight w:val="none"/>
        </w:rPr>
        <w:t>脱敏等</w:t>
      </w:r>
      <w:r>
        <w:rPr>
          <w:rFonts w:hint="eastAsia" w:ascii="楷体" w:hAnsi="楷体" w:eastAsia="楷体" w:cs="楷体"/>
          <w:sz w:val="28"/>
          <w:szCs w:val="28"/>
          <w:highlight w:val="none"/>
          <w:lang w:val="en-US" w:eastAsia="zh-CN"/>
        </w:rPr>
        <w:t>方式，将数据用于平台功能优化、</w:t>
      </w:r>
      <w:r>
        <w:rPr>
          <w:rFonts w:hint="eastAsia" w:ascii="楷体" w:hAnsi="楷体" w:eastAsia="楷体" w:cs="楷体"/>
          <w:sz w:val="28"/>
          <w:szCs w:val="28"/>
          <w:highlight w:val="none"/>
        </w:rPr>
        <w:t>开发数据产品</w:t>
      </w:r>
      <w:r>
        <w:rPr>
          <w:rFonts w:hint="eastAsia" w:ascii="楷体" w:hAnsi="楷体" w:eastAsia="楷体" w:cs="楷体"/>
          <w:sz w:val="28"/>
          <w:szCs w:val="28"/>
          <w:highlight w:val="none"/>
          <w:lang w:val="en-US" w:eastAsia="zh-CN"/>
        </w:rPr>
        <w:t>等商业上的利用</w:t>
      </w:r>
      <w:r>
        <w:rPr>
          <w:rFonts w:hint="eastAsia" w:ascii="楷体" w:hAnsi="楷体" w:eastAsia="楷体" w:cs="楷体"/>
          <w:sz w:val="28"/>
          <w:szCs w:val="28"/>
          <w:highlight w:val="none"/>
        </w:rPr>
        <w:t>。</w:t>
      </w:r>
    </w:p>
    <w:p>
      <w:pPr>
        <w:adjustRightInd w:val="0"/>
        <w:snapToGrid w:val="0"/>
        <w:spacing w:line="396" w:lineRule="auto"/>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rPr>
        <w:t>15.3.</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 xml:space="preserve"> 甲方承诺采取加密、权限管控等措施保障数据安全，防止数据泄露或滥用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基于</w:t>
      </w:r>
      <w:r>
        <w:rPr>
          <w:rFonts w:hint="eastAsia" w:ascii="楷体" w:hAnsi="楷体" w:eastAsia="楷体" w:cs="楷体"/>
          <w:sz w:val="28"/>
          <w:szCs w:val="28"/>
          <w:highlight w:val="none"/>
          <w:lang w:val="en-US" w:eastAsia="zh-CN"/>
        </w:rPr>
        <w:t>本合同业务</w:t>
      </w:r>
      <w:r>
        <w:rPr>
          <w:rFonts w:hint="eastAsia" w:ascii="楷体" w:hAnsi="楷体" w:eastAsia="楷体" w:cs="楷体"/>
          <w:sz w:val="28"/>
          <w:szCs w:val="28"/>
          <w:highlight w:val="none"/>
        </w:rPr>
        <w:t>数据开发的数据产品（如分析模型、报告）的知识产权及数据权益归甲方所有。</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pPr>
        <w:pStyle w:val="3"/>
        <w:spacing w:line="360" w:lineRule="auto"/>
        <w:ind w:left="0" w:leftChars="0" w:firstLine="0" w:firstLineChars="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pPr>
        <w:pStyle w:val="3"/>
        <w:spacing w:line="360" w:lineRule="auto"/>
        <w:ind w:left="0" w:leftChars="0"/>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安全生产管理协议书</w:t>
      </w:r>
    </w:p>
    <w:p>
      <w:pPr>
        <w:rPr>
          <w:rFonts w:hint="eastAsia" w:ascii="楷体" w:hAnsi="楷体" w:eastAsia="楷体" w:cs="楷体"/>
          <w:color w:val="auto"/>
          <w:kern w:val="0"/>
          <w:sz w:val="28"/>
          <w:szCs w:val="28"/>
          <w:highlight w:val="none"/>
          <w:lang w:bidi="ar"/>
        </w:rPr>
      </w:pPr>
    </w:p>
    <w:p>
      <w:pPr>
        <w:ind w:firstLine="0" w:firstLineChars="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甲方：</w:t>
      </w:r>
    </w:p>
    <w:p>
      <w:pPr>
        <w:ind w:firstLine="0"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乙方：</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highlight w:val="none"/>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lang w:val="en-US" w:eastAsia="zh-CN"/>
        </w:rPr>
        <w:t>安全</w:t>
      </w:r>
      <w:r>
        <w:rPr>
          <w:rFonts w:hint="eastAsia" w:ascii="楷体" w:hAnsi="楷体" w:eastAsia="楷体" w:cs="楷体"/>
          <w:color w:val="auto"/>
          <w:sz w:val="28"/>
          <w:szCs w:val="28"/>
          <w:highlight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lang w:val="zh-CN" w:eastAsia="zh-CN"/>
        </w:rPr>
        <w:t>浙江省房屋使用安全管理条例</w:t>
      </w:r>
      <w:r>
        <w:rPr>
          <w:rFonts w:hint="eastAsia" w:ascii="楷体" w:hAnsi="楷体" w:eastAsia="楷体" w:cs="楷体"/>
          <w:color w:val="auto"/>
          <w:sz w:val="28"/>
          <w:szCs w:val="28"/>
          <w:highlight w:val="none"/>
          <w:lang w:val="zh-CN"/>
        </w:rPr>
        <w:t>》及有关法律、法规规定，经双方协商，达成如下协议：</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lang w:val="zh-CN"/>
        </w:rPr>
        <w:t>、甲方安全职责</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有权对乙方在管理区域内的安全生产</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消防</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公共安全</w:t>
      </w:r>
      <w:r>
        <w:rPr>
          <w:rFonts w:hint="eastAsia" w:ascii="楷体" w:hAnsi="楷体" w:eastAsia="楷体" w:cs="楷体"/>
          <w:color w:val="auto"/>
          <w:sz w:val="28"/>
          <w:szCs w:val="28"/>
          <w:highlight w:val="none"/>
        </w:rPr>
        <w:t>等情况进行检查，并要求乙方对</w:t>
      </w:r>
      <w:r>
        <w:rPr>
          <w:rFonts w:hint="eastAsia" w:ascii="楷体" w:hAnsi="楷体" w:eastAsia="楷体" w:cs="楷体"/>
          <w:color w:val="auto"/>
          <w:sz w:val="28"/>
          <w:szCs w:val="28"/>
          <w:highlight w:val="none"/>
          <w:lang w:val="en-US" w:eastAsia="zh-CN"/>
        </w:rPr>
        <w:t>存在</w:t>
      </w:r>
      <w:r>
        <w:rPr>
          <w:rFonts w:hint="eastAsia" w:ascii="楷体" w:hAnsi="楷体" w:eastAsia="楷体" w:cs="楷体"/>
          <w:color w:val="auto"/>
          <w:sz w:val="28"/>
          <w:szCs w:val="28"/>
          <w:highlight w:val="none"/>
        </w:rPr>
        <w:t>的不安全隐患</w:t>
      </w:r>
      <w:r>
        <w:rPr>
          <w:rFonts w:hint="eastAsia" w:ascii="楷体" w:hAnsi="楷体" w:eastAsia="楷体" w:cs="楷体"/>
          <w:color w:val="auto"/>
          <w:sz w:val="28"/>
          <w:szCs w:val="28"/>
          <w:highlight w:val="none"/>
          <w:lang w:val="en-US" w:eastAsia="zh-CN"/>
        </w:rPr>
        <w:t>限期</w:t>
      </w:r>
      <w:r>
        <w:rPr>
          <w:rFonts w:hint="eastAsia" w:ascii="楷体" w:hAnsi="楷体" w:eastAsia="楷体" w:cs="楷体"/>
          <w:color w:val="auto"/>
          <w:sz w:val="28"/>
          <w:szCs w:val="28"/>
          <w:highlight w:val="none"/>
        </w:rPr>
        <w:t>进行整改。</w:t>
      </w:r>
      <w:r>
        <w:rPr>
          <w:rFonts w:hint="eastAsia" w:ascii="楷体" w:hAnsi="楷体" w:eastAsia="楷体" w:cs="楷体"/>
          <w:color w:val="auto"/>
          <w:kern w:val="0"/>
          <w:sz w:val="28"/>
          <w:szCs w:val="28"/>
          <w:highlight w:val="none"/>
          <w:lang w:val="en-US" w:eastAsia="zh-CN" w:bidi="ar"/>
        </w:rPr>
        <w:t>甲方将不定期对乙方进行安全培训并发放相关宣传资料，乙方需予以配合。</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zh-CN"/>
        </w:rPr>
        <w:t>、乙方安全职责</w:t>
      </w:r>
    </w:p>
    <w:p>
      <w:pPr>
        <w:ind w:firstLine="560" w:firstLineChars="200"/>
        <w:rPr>
          <w:rFonts w:hint="eastAsia" w:ascii="楷体" w:hAnsi="楷体" w:eastAsia="楷体" w:cs="楷体"/>
          <w:color w:val="000000" w:themeColor="text1"/>
          <w:sz w:val="28"/>
          <w:szCs w:val="28"/>
          <w:highlight w:val="none"/>
          <w:lang w:val="zh-CN"/>
          <w14:textFill>
            <w14:solidFill>
              <w14:schemeClr w14:val="tx1"/>
            </w14:solidFill>
          </w14:textFill>
        </w:rPr>
      </w:pPr>
      <w:r>
        <w:rPr>
          <w:rFonts w:hint="eastAsia" w:ascii="楷体" w:hAnsi="楷体" w:eastAsia="楷体" w:cs="楷体"/>
          <w:color w:val="000000" w:themeColor="text1"/>
          <w:sz w:val="28"/>
          <w:szCs w:val="28"/>
          <w:highlight w:val="none"/>
          <w:lang w:val="en-US" w:eastAsia="zh-CN"/>
          <w14:textFill>
            <w14:solidFill>
              <w14:schemeClr w14:val="tx1"/>
            </w14:solidFill>
          </w14:textFill>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一）管理责任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1、有效贯彻落实涉及</w:t>
      </w:r>
      <w:r>
        <w:rPr>
          <w:rFonts w:hint="eastAsia" w:ascii="楷体" w:hAnsi="楷体" w:eastAsia="楷体" w:cs="楷体"/>
          <w:color w:val="auto"/>
          <w:sz w:val="28"/>
          <w:szCs w:val="28"/>
          <w:highlight w:val="none"/>
          <w:lang w:val="zh-CN"/>
        </w:rPr>
        <w:t>安全生产</w:t>
      </w:r>
      <w:r>
        <w:rPr>
          <w:rFonts w:hint="eastAsia" w:ascii="楷体" w:hAnsi="楷体" w:eastAsia="楷体" w:cs="楷体"/>
          <w:color w:val="auto"/>
          <w:sz w:val="28"/>
          <w:szCs w:val="28"/>
          <w:highlight w:val="none"/>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zh-CN" w:eastAsia="zh-CN"/>
        </w:rPr>
        <w:t>对甲方检查提出的安全隐患问题（</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eastAsia="zh-CN"/>
        </w:rPr>
        <w:t>整改</w:t>
      </w:r>
      <w:r>
        <w:rPr>
          <w:rFonts w:hint="eastAsia" w:ascii="楷体" w:hAnsi="楷体" w:eastAsia="楷体" w:cs="楷体"/>
          <w:color w:val="auto"/>
          <w:sz w:val="28"/>
          <w:szCs w:val="28"/>
          <w:highlight w:val="none"/>
          <w:lang w:val="en-US" w:eastAsia="zh-CN"/>
        </w:rPr>
        <w:t>单</w:t>
      </w:r>
      <w:r>
        <w:rPr>
          <w:rFonts w:hint="eastAsia" w:ascii="楷体" w:hAnsi="楷体" w:eastAsia="楷体" w:cs="楷体"/>
          <w:color w:val="auto"/>
          <w:sz w:val="28"/>
          <w:szCs w:val="28"/>
          <w:highlight w:val="none"/>
          <w:lang w:val="zh-CN" w:eastAsia="zh-CN"/>
        </w:rPr>
        <w:t>），应立即进行整改。</w:t>
      </w:r>
      <w:r>
        <w:rPr>
          <w:rFonts w:hint="eastAsia" w:ascii="楷体" w:hAnsi="楷体" w:eastAsia="楷体" w:cs="楷体"/>
          <w:color w:val="auto"/>
          <w:sz w:val="28"/>
          <w:szCs w:val="28"/>
          <w:highlight w:val="none"/>
          <w:lang w:val="zh-CN"/>
        </w:rPr>
        <w:t>对一时无法解决的</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zh-CN" w:eastAsia="zh-CN"/>
        </w:rPr>
        <w:t>必须采取有效措施</w:t>
      </w:r>
      <w:r>
        <w:rPr>
          <w:rFonts w:hint="eastAsia" w:ascii="楷体" w:hAnsi="楷体" w:eastAsia="楷体" w:cs="楷体"/>
          <w:color w:val="auto"/>
          <w:sz w:val="28"/>
          <w:szCs w:val="28"/>
          <w:highlight w:val="none"/>
          <w:lang w:val="zh-CN"/>
        </w:rPr>
        <w:t>进行补救，并将处理</w:t>
      </w:r>
      <w:r>
        <w:rPr>
          <w:rFonts w:hint="eastAsia" w:ascii="楷体" w:hAnsi="楷体" w:eastAsia="楷体" w:cs="楷体"/>
          <w:color w:val="auto"/>
          <w:sz w:val="28"/>
          <w:szCs w:val="28"/>
          <w:highlight w:val="none"/>
          <w:lang w:val="zh-CN" w:eastAsia="zh-CN"/>
        </w:rPr>
        <w:t>结果及时反馈</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lang w:val="zh-CN" w:eastAsia="zh-CN"/>
        </w:rPr>
        <w:t>。</w:t>
      </w:r>
      <w:r>
        <w:rPr>
          <w:rFonts w:hint="eastAsia" w:ascii="楷体" w:hAnsi="楷体" w:eastAsia="楷体" w:cs="楷体"/>
          <w:color w:val="auto"/>
          <w:sz w:val="28"/>
          <w:szCs w:val="28"/>
          <w:highlight w:val="none"/>
          <w:lang w:val="en-US" w:eastAsia="zh-CN"/>
        </w:rPr>
        <w:t>整改期间的一切安全生产责任及费用由乙方承担。</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highlight w:val="none"/>
        </w:rPr>
        <w:t>方应当遵守《浙江省房屋使用安全管理条例》</w:t>
      </w:r>
      <w:r>
        <w:rPr>
          <w:rFonts w:hint="eastAsia" w:ascii="楷体" w:hAnsi="楷体" w:eastAsia="楷体" w:cs="楷体"/>
          <w:color w:val="auto"/>
          <w:sz w:val="28"/>
          <w:szCs w:val="28"/>
          <w:highlight w:val="none"/>
          <w:lang w:val="en-US" w:eastAsia="zh-CN"/>
        </w:rPr>
        <w:t>等相关规定</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作为房屋使用安全责任人</w:t>
      </w:r>
      <w:r>
        <w:rPr>
          <w:rFonts w:hint="eastAsia" w:ascii="楷体" w:hAnsi="楷体" w:eastAsia="楷体" w:cs="楷体"/>
          <w:color w:val="auto"/>
          <w:sz w:val="28"/>
          <w:szCs w:val="28"/>
          <w:highlight w:val="none"/>
          <w:lang w:val="en-US" w:eastAsia="zh-CN"/>
        </w:rPr>
        <w:t>需严格</w:t>
      </w:r>
      <w:r>
        <w:rPr>
          <w:rFonts w:hint="eastAsia" w:ascii="楷体" w:hAnsi="楷体" w:eastAsia="楷体" w:cs="楷体"/>
          <w:color w:val="auto"/>
          <w:sz w:val="28"/>
          <w:szCs w:val="28"/>
          <w:highlight w:val="none"/>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5、未经甲方及有关部门批准，租赁区域内不得设有大功率充电设备（包括但不限于</w:t>
      </w:r>
      <w:r>
        <w:rPr>
          <w:rFonts w:hint="eastAsia" w:ascii="楷体" w:hAnsi="楷体" w:eastAsia="楷体" w:cs="楷体"/>
          <w:color w:val="auto"/>
          <w:kern w:val="2"/>
          <w:sz w:val="28"/>
          <w:szCs w:val="28"/>
          <w:highlight w:val="none"/>
          <w:lang w:val="en-US" w:eastAsia="zh-CN" w:bidi="ar"/>
        </w:rPr>
        <w:t>厨房电器、</w:t>
      </w:r>
      <w:r>
        <w:rPr>
          <w:rFonts w:hint="eastAsia" w:ascii="楷体" w:hAnsi="楷体" w:eastAsia="楷体" w:cs="楷体"/>
          <w:color w:val="auto"/>
          <w:sz w:val="28"/>
          <w:szCs w:val="28"/>
          <w:highlight w:val="none"/>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（二）消防责任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乙方从接收物业（承租及管理区域）之日起，其法定代表人</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实际控制人</w:t>
      </w:r>
      <w:r>
        <w:rPr>
          <w:rFonts w:hint="eastAsia" w:ascii="楷体" w:hAnsi="楷体" w:eastAsia="楷体" w:cs="楷体"/>
          <w:color w:val="auto"/>
          <w:sz w:val="28"/>
          <w:szCs w:val="28"/>
          <w:highlight w:val="none"/>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w:t>
      </w:r>
      <w:r>
        <w:rPr>
          <w:rFonts w:hint="eastAsia" w:ascii="楷体" w:hAnsi="楷体" w:eastAsia="楷体" w:cs="楷体"/>
          <w:color w:val="auto"/>
          <w:sz w:val="28"/>
          <w:szCs w:val="28"/>
          <w:highlight w:val="none"/>
          <w:lang w:val="en-US" w:eastAsia="zh-CN"/>
        </w:rPr>
        <w:t>根据国家及地方法规规定要求</w:t>
      </w:r>
      <w:r>
        <w:rPr>
          <w:rFonts w:hint="eastAsia" w:ascii="楷体" w:hAnsi="楷体" w:eastAsia="楷体" w:cs="楷体"/>
          <w:color w:val="auto"/>
          <w:sz w:val="28"/>
          <w:szCs w:val="28"/>
          <w:highlight w:val="none"/>
        </w:rPr>
        <w:t>与所辖区消防大队签订《消防安全责任书》。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承租物业投入使用</w:t>
      </w:r>
      <w:r>
        <w:rPr>
          <w:rFonts w:hint="eastAsia" w:ascii="楷体" w:hAnsi="楷体" w:eastAsia="楷体" w:cs="楷体"/>
          <w:color w:val="auto"/>
          <w:sz w:val="28"/>
          <w:szCs w:val="28"/>
          <w:highlight w:val="none"/>
          <w:lang w:val="en-US" w:eastAsia="zh-CN"/>
        </w:rPr>
        <w:t>前</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乙方</w:t>
      </w:r>
      <w:r>
        <w:rPr>
          <w:rFonts w:hint="eastAsia" w:ascii="楷体" w:hAnsi="楷体" w:eastAsia="楷体" w:cs="楷体"/>
          <w:color w:val="auto"/>
          <w:sz w:val="28"/>
          <w:szCs w:val="28"/>
          <w:highlight w:val="none"/>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同时将</w:t>
      </w:r>
      <w:r>
        <w:rPr>
          <w:rFonts w:hint="eastAsia" w:ascii="楷体" w:hAnsi="楷体" w:eastAsia="楷体" w:cs="楷体"/>
          <w:color w:val="auto"/>
          <w:sz w:val="28"/>
          <w:szCs w:val="28"/>
          <w:highlight w:val="none"/>
        </w:rPr>
        <w:t>火警火灾应急处置预案报相关单位审核同意，落实专人负责</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并负责</w:t>
      </w:r>
      <w:r>
        <w:rPr>
          <w:rFonts w:hint="eastAsia" w:ascii="楷体" w:hAnsi="楷体" w:eastAsia="楷体" w:cs="楷体"/>
          <w:color w:val="auto"/>
          <w:sz w:val="28"/>
          <w:szCs w:val="28"/>
          <w:highlight w:val="none"/>
          <w:lang w:val="en-US" w:eastAsia="zh-CN"/>
        </w:rPr>
        <w:t>监</w:t>
      </w:r>
      <w:r>
        <w:rPr>
          <w:rFonts w:hint="eastAsia" w:ascii="楷体" w:hAnsi="楷体" w:eastAsia="楷体" w:cs="楷体"/>
          <w:color w:val="auto"/>
          <w:sz w:val="28"/>
          <w:szCs w:val="28"/>
          <w:highlight w:val="none"/>
        </w:rPr>
        <w:t>督执行。落实各级防火责任制，</w:t>
      </w:r>
      <w:r>
        <w:rPr>
          <w:rFonts w:hint="eastAsia" w:ascii="楷体" w:hAnsi="楷体" w:eastAsia="楷体" w:cs="楷体"/>
          <w:color w:val="auto"/>
          <w:sz w:val="28"/>
          <w:szCs w:val="28"/>
          <w:highlight w:val="none"/>
          <w:lang w:val="en-US" w:eastAsia="zh-CN"/>
        </w:rPr>
        <w:t>创建</w:t>
      </w:r>
      <w:r>
        <w:rPr>
          <w:rFonts w:hint="eastAsia" w:ascii="楷体" w:hAnsi="楷体" w:eastAsia="楷体" w:cs="楷体"/>
          <w:color w:val="auto"/>
          <w:sz w:val="28"/>
          <w:szCs w:val="28"/>
          <w:highlight w:val="none"/>
        </w:rPr>
        <w:t>消防安全条件，完善消防设施。</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4、经营装修必须符合消防安全许可要求，严格执行相关法律、法规及有关行政主管部门</w:t>
      </w:r>
      <w:r>
        <w:rPr>
          <w:rFonts w:hint="eastAsia" w:ascii="楷体" w:hAnsi="楷体" w:eastAsia="楷体" w:cs="楷体"/>
          <w:color w:val="auto"/>
          <w:kern w:val="0"/>
          <w:sz w:val="28"/>
          <w:szCs w:val="28"/>
          <w:highlight w:val="none"/>
          <w:lang w:val="en-US" w:eastAsia="zh-CN" w:bidi="ar"/>
        </w:rPr>
        <w:t>要求</w:t>
      </w:r>
      <w:r>
        <w:rPr>
          <w:rFonts w:hint="eastAsia" w:ascii="楷体" w:hAnsi="楷体" w:eastAsia="楷体" w:cs="楷体"/>
          <w:color w:val="auto"/>
          <w:sz w:val="28"/>
          <w:szCs w:val="28"/>
          <w:highlight w:val="none"/>
          <w:lang w:val="en-US" w:eastAsia="zh-CN"/>
        </w:rPr>
        <w:t>。</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（1）火灾隐患的整改情况以及防范措施的落实情况；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（3）租赁区域内严禁堆放易燃、易爆、有毒等物品；</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（5）安全通道是否有堆积物，影响应急逃生要求；</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（6）规范用电，杜绝私拉、私接、扩容等不法、违规行为；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（7）是否按要求开展消防知识学习培训、应急演练；</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（8）应持证上岗的岗位人员是否都按要求持证上岗；</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（9）其他法律、法规、规章等规范性文件要求自查的内容。</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（三）防汛责任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2、储备相应应急物资，汛情期间确保自身人员安全情况下，利用储备防汛物资做好自身区域防汛工作。</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（四）应急责任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1、出现意外险情，首先保障人员生命安全，利用现场保障资源做好应急工作，及时报警救援，同时向甲方通报有关险情及现场情况。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2、无条件配合甲方应急抢险任务。</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（五）违约责任</w:t>
      </w:r>
    </w:p>
    <w:p>
      <w:pPr>
        <w:ind w:firstLine="560" w:firstLineChars="200"/>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8"/>
          <w:szCs w:val="28"/>
          <w:highlight w:val="none"/>
          <w:lang w:bidi="ar"/>
        </w:rPr>
        <w:t>，</w:t>
      </w:r>
      <w:r>
        <w:rPr>
          <w:rFonts w:hint="eastAsia" w:ascii="楷体" w:hAnsi="楷体" w:eastAsia="楷体" w:cs="楷体"/>
          <w:color w:val="auto"/>
          <w:kern w:val="0"/>
          <w:sz w:val="28"/>
          <w:szCs w:val="28"/>
          <w:highlight w:val="none"/>
          <w:lang w:val="en-US" w:eastAsia="zh-CN" w:bidi="ar"/>
        </w:rPr>
        <w:t>乙方</w:t>
      </w:r>
      <w:r>
        <w:rPr>
          <w:rFonts w:hint="eastAsia" w:ascii="楷体" w:hAnsi="楷体" w:eastAsia="楷体" w:cs="楷体"/>
          <w:color w:val="auto"/>
          <w:kern w:val="0"/>
          <w:sz w:val="28"/>
          <w:szCs w:val="28"/>
          <w:highlight w:val="none"/>
          <w:lang w:bidi="ar"/>
        </w:rPr>
        <w:t>应</w:t>
      </w:r>
      <w:r>
        <w:rPr>
          <w:rFonts w:hint="eastAsia" w:ascii="楷体" w:hAnsi="楷体" w:eastAsia="楷体" w:cs="楷体"/>
          <w:color w:val="auto"/>
          <w:kern w:val="0"/>
          <w:sz w:val="28"/>
          <w:szCs w:val="28"/>
          <w:highlight w:val="none"/>
          <w:lang w:eastAsia="zh-CN" w:bidi="ar"/>
        </w:rPr>
        <w:t>在</w:t>
      </w:r>
      <w:r>
        <w:rPr>
          <w:rFonts w:hint="eastAsia" w:ascii="楷体" w:hAnsi="楷体" w:eastAsia="楷体" w:cs="楷体"/>
          <w:color w:val="auto"/>
          <w:kern w:val="0"/>
          <w:sz w:val="28"/>
          <w:szCs w:val="28"/>
          <w:highlight w:val="none"/>
          <w:lang w:val="en-US" w:eastAsia="zh-CN" w:bidi="ar"/>
        </w:rPr>
        <w:t>接到信息后5分钟内</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val="en-US" w:eastAsia="zh-CN" w:bidi="ar"/>
        </w:rPr>
        <w:t>。乙方及时、完整</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eastAsia="zh-CN" w:bidi="ar"/>
        </w:rPr>
        <w:t>的，</w:t>
      </w:r>
      <w:r>
        <w:rPr>
          <w:rFonts w:hint="eastAsia" w:ascii="楷体" w:hAnsi="楷体" w:eastAsia="楷体" w:cs="楷体"/>
          <w:color w:val="auto"/>
          <w:kern w:val="0"/>
          <w:sz w:val="28"/>
          <w:szCs w:val="28"/>
          <w:highlight w:val="none"/>
          <w:lang w:val="en-US" w:eastAsia="zh-CN" w:bidi="ar"/>
        </w:rPr>
        <w:t>甲方有权根据乙方违约程度要求支付相应安全管理责任违约金（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伍仟元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陆万元）；</w:t>
      </w:r>
      <w:r>
        <w:rPr>
          <w:rFonts w:hint="eastAsia" w:ascii="楷体" w:hAnsi="楷体" w:eastAsia="楷体" w:cs="楷体"/>
          <w:color w:val="auto"/>
          <w:kern w:val="0"/>
          <w:sz w:val="28"/>
          <w:szCs w:val="28"/>
          <w:highlight w:val="none"/>
          <w:lang w:bidi="ar"/>
        </w:rPr>
        <w:t>如</w:t>
      </w:r>
      <w:r>
        <w:rPr>
          <w:rFonts w:hint="eastAsia" w:ascii="楷体" w:hAnsi="楷体" w:eastAsia="楷体" w:cs="楷体"/>
          <w:color w:val="auto"/>
          <w:kern w:val="0"/>
          <w:sz w:val="28"/>
          <w:szCs w:val="28"/>
          <w:highlight w:val="none"/>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8"/>
          <w:szCs w:val="28"/>
          <w:highlight w:val="none"/>
          <w:lang w:bidi="ar"/>
        </w:rPr>
        <w:t>有权</w:t>
      </w:r>
      <w:r>
        <w:rPr>
          <w:rFonts w:hint="eastAsia" w:ascii="楷体" w:hAnsi="楷体" w:eastAsia="楷体" w:cs="楷体"/>
          <w:color w:val="auto"/>
          <w:kern w:val="0"/>
          <w:sz w:val="28"/>
          <w:szCs w:val="28"/>
          <w:highlight w:val="none"/>
          <w:lang w:val="en-US" w:eastAsia="zh-CN" w:bidi="ar"/>
        </w:rPr>
        <w:t>要求乙</w:t>
      </w:r>
      <w:r>
        <w:rPr>
          <w:rFonts w:hint="eastAsia" w:ascii="楷体" w:hAnsi="楷体" w:eastAsia="楷体" w:cs="楷体"/>
          <w:color w:val="auto"/>
          <w:kern w:val="0"/>
          <w:sz w:val="28"/>
          <w:szCs w:val="28"/>
          <w:highlight w:val="none"/>
          <w:lang w:bidi="ar"/>
        </w:rPr>
        <w:t>方</w:t>
      </w:r>
      <w:r>
        <w:rPr>
          <w:rFonts w:hint="eastAsia" w:ascii="楷体" w:hAnsi="楷体" w:eastAsia="楷体" w:cs="楷体"/>
          <w:color w:val="auto"/>
          <w:kern w:val="0"/>
          <w:sz w:val="28"/>
          <w:szCs w:val="28"/>
          <w:highlight w:val="none"/>
          <w:lang w:val="en-US" w:eastAsia="zh-CN" w:bidi="ar"/>
        </w:rPr>
        <w:t>支付相应违约金（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壹万元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壹拾万元）。</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kern w:val="0"/>
          <w:sz w:val="28"/>
          <w:szCs w:val="28"/>
          <w:highlight w:val="none"/>
          <w:lang w:val="en-US" w:eastAsia="zh-CN" w:bidi="ar"/>
        </w:rPr>
        <w:t>乙方应在收到甲方书面通知后5日内足额支付违约金，否则甲方有权自行从履约</w:t>
      </w:r>
      <w:r>
        <w:rPr>
          <w:rFonts w:hint="eastAsia" w:ascii="楷体" w:hAnsi="楷体" w:eastAsia="楷体" w:cs="楷体"/>
          <w:color w:val="auto"/>
          <w:kern w:val="0"/>
          <w:sz w:val="28"/>
          <w:szCs w:val="28"/>
          <w:highlight w:val="none"/>
          <w:lang w:bidi="ar"/>
        </w:rPr>
        <w:t>保证金中扣除</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不足部分乙方需另行支付，同时乙方需及时向甲方补足履约保证金</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2、甲方</w:t>
      </w:r>
      <w:r>
        <w:rPr>
          <w:rFonts w:hint="eastAsia" w:ascii="楷体" w:hAnsi="楷体" w:eastAsia="楷体" w:cs="楷体"/>
          <w:color w:val="auto"/>
          <w:sz w:val="28"/>
          <w:szCs w:val="28"/>
          <w:highlight w:val="none"/>
        </w:rPr>
        <w:t>发现</w:t>
      </w:r>
      <w:r>
        <w:rPr>
          <w:rFonts w:hint="eastAsia" w:ascii="楷体" w:hAnsi="楷体" w:eastAsia="楷体" w:cs="楷体"/>
          <w:color w:val="auto"/>
          <w:sz w:val="28"/>
          <w:szCs w:val="28"/>
          <w:highlight w:val="none"/>
          <w:lang w:val="en-US" w:eastAsia="zh-CN"/>
        </w:rPr>
        <w:t>乙方承租区域内</w:t>
      </w:r>
      <w:r>
        <w:rPr>
          <w:rFonts w:hint="eastAsia" w:ascii="楷体" w:hAnsi="楷体" w:eastAsia="楷体" w:cs="楷体"/>
          <w:color w:val="auto"/>
          <w:sz w:val="28"/>
          <w:szCs w:val="28"/>
          <w:highlight w:val="none"/>
        </w:rPr>
        <w:t>存在安全隐患的，</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应在甲方通知期限内完成相应</w:t>
      </w:r>
      <w:r>
        <w:rPr>
          <w:rFonts w:hint="eastAsia" w:ascii="楷体" w:hAnsi="楷体" w:eastAsia="楷体" w:cs="楷体"/>
          <w:color w:val="auto"/>
          <w:kern w:val="0"/>
          <w:sz w:val="28"/>
          <w:szCs w:val="28"/>
          <w:highlight w:val="none"/>
          <w:lang w:val="en-US" w:eastAsia="zh-CN" w:bidi="ar"/>
        </w:rPr>
        <w:t>消除隐患</w:t>
      </w:r>
      <w:r>
        <w:rPr>
          <w:rFonts w:hint="eastAsia" w:ascii="楷体" w:hAnsi="楷体" w:eastAsia="楷体" w:cs="楷体"/>
          <w:color w:val="auto"/>
          <w:sz w:val="28"/>
          <w:szCs w:val="28"/>
          <w:highlight w:val="none"/>
        </w:rPr>
        <w:t>整改工作，如限期未整改</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，甲方有权扣除</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方违约金每次贰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至伍万元（在</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保证金中扣除），且</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方仍应继续整改；</w:t>
      </w:r>
      <w:r>
        <w:rPr>
          <w:rFonts w:hint="eastAsia" w:ascii="楷体" w:hAnsi="楷体" w:eastAsia="楷体" w:cs="楷体"/>
          <w:color w:val="auto"/>
          <w:kern w:val="0"/>
          <w:sz w:val="28"/>
          <w:szCs w:val="28"/>
          <w:highlight w:val="none"/>
          <w:lang w:val="en-US" w:eastAsia="zh-CN" w:bidi="ar"/>
        </w:rPr>
        <w:t>因乙方拖延不整改、拒不整改或</w:t>
      </w:r>
      <w:r>
        <w:rPr>
          <w:rFonts w:hint="eastAsia" w:ascii="楷体" w:hAnsi="楷体" w:eastAsia="楷体" w:cs="楷体"/>
          <w:color w:val="auto"/>
          <w:kern w:val="0"/>
          <w:sz w:val="28"/>
          <w:szCs w:val="28"/>
          <w:highlight w:val="none"/>
          <w:lang w:bidi="ar"/>
        </w:rPr>
        <w:t>同一安全隐患</w:t>
      </w:r>
      <w:r>
        <w:rPr>
          <w:rFonts w:hint="eastAsia" w:ascii="楷体" w:hAnsi="楷体" w:eastAsia="楷体" w:cs="楷体"/>
          <w:color w:val="auto"/>
          <w:kern w:val="0"/>
          <w:sz w:val="28"/>
          <w:szCs w:val="28"/>
          <w:highlight w:val="none"/>
          <w:lang w:val="en-US" w:eastAsia="zh-CN" w:bidi="ar"/>
        </w:rPr>
        <w:t>反复出现，</w:t>
      </w:r>
      <w:r>
        <w:rPr>
          <w:rFonts w:hint="eastAsia" w:ascii="楷体" w:hAnsi="楷体" w:eastAsia="楷体" w:cs="楷体"/>
          <w:color w:val="auto"/>
          <w:sz w:val="28"/>
          <w:szCs w:val="28"/>
          <w:highlight w:val="none"/>
        </w:rPr>
        <w:t>甲方书面发函、约谈2次及以上</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方仍未整改的（发函与约谈效力等同），视为</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方根本性违约，甲方有权解除合同，并按照</w:t>
      </w:r>
      <w:r>
        <w:rPr>
          <w:rFonts w:hint="eastAsia" w:ascii="楷体" w:hAnsi="楷体" w:eastAsia="楷体" w:cs="楷体"/>
          <w:color w:val="auto"/>
          <w:sz w:val="28"/>
          <w:szCs w:val="28"/>
          <w:highlight w:val="none"/>
          <w:lang w:val="en-US" w:eastAsia="zh-CN"/>
        </w:rPr>
        <w:t>签订的房屋</w:t>
      </w:r>
      <w:r>
        <w:rPr>
          <w:rFonts w:hint="eastAsia" w:ascii="楷体" w:hAnsi="楷体" w:eastAsia="楷体" w:cs="楷体"/>
          <w:color w:val="auto"/>
          <w:sz w:val="28"/>
          <w:szCs w:val="28"/>
          <w:highlight w:val="none"/>
        </w:rPr>
        <w:t>租赁合同</w:t>
      </w:r>
      <w:r>
        <w:rPr>
          <w:rFonts w:hint="eastAsia" w:ascii="楷体" w:hAnsi="楷体" w:eastAsia="楷体" w:cs="楷体"/>
          <w:color w:val="auto"/>
          <w:sz w:val="28"/>
          <w:szCs w:val="28"/>
          <w:highlight w:val="none"/>
          <w:lang w:val="en-US" w:eastAsia="zh-CN"/>
        </w:rPr>
        <w:t>中</w:t>
      </w:r>
      <w:r>
        <w:rPr>
          <w:rFonts w:hint="eastAsia" w:ascii="楷体" w:hAnsi="楷体" w:eastAsia="楷体" w:cs="楷体"/>
          <w:color w:val="auto"/>
          <w:sz w:val="28"/>
          <w:szCs w:val="28"/>
          <w:highlight w:val="none"/>
        </w:rPr>
        <w:t>约定</w:t>
      </w:r>
      <w:r>
        <w:rPr>
          <w:rFonts w:hint="eastAsia" w:ascii="楷体" w:hAnsi="楷体" w:eastAsia="楷体" w:cs="楷体"/>
          <w:color w:val="auto"/>
          <w:sz w:val="28"/>
          <w:szCs w:val="28"/>
          <w:highlight w:val="none"/>
          <w:lang w:val="en-US" w:eastAsia="zh-CN"/>
        </w:rPr>
        <w:t>的内容</w:t>
      </w:r>
      <w:r>
        <w:rPr>
          <w:rFonts w:hint="eastAsia" w:ascii="楷体" w:hAnsi="楷体" w:eastAsia="楷体" w:cs="楷体"/>
          <w:color w:val="auto"/>
          <w:sz w:val="28"/>
          <w:szCs w:val="28"/>
          <w:highlight w:val="none"/>
        </w:rPr>
        <w:t>追究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方违约责任，相关责任与费用由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方自行承担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同时乙方需承担甲方因维权产生的费用（包括但不限于律师费、仲裁费、诉讼费、保全费、审计费、鉴定费</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highlight w:val="none"/>
        </w:rPr>
        <w:t>律师费、仲裁费、诉讼费、保全费、审计费、鉴定费</w:t>
      </w:r>
      <w:r>
        <w:rPr>
          <w:rFonts w:hint="eastAsia" w:ascii="楷体" w:hAnsi="楷体" w:eastAsia="楷体" w:cs="楷体"/>
          <w:color w:val="auto"/>
          <w:sz w:val="28"/>
          <w:szCs w:val="28"/>
          <w:highlight w:val="none"/>
          <w:lang w:val="en-US" w:eastAsia="zh-CN"/>
        </w:rPr>
        <w:t>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4、因乙方</w:t>
      </w:r>
      <w:r>
        <w:rPr>
          <w:rFonts w:hint="eastAsia" w:ascii="楷体" w:hAnsi="楷体" w:eastAsia="楷体" w:cs="楷体"/>
          <w:color w:val="auto"/>
          <w:sz w:val="28"/>
          <w:szCs w:val="28"/>
          <w:highlight w:val="none"/>
          <w:lang w:val="zh-CN"/>
        </w:rPr>
        <w:t>违反</w:t>
      </w:r>
      <w:r>
        <w:rPr>
          <w:rFonts w:hint="eastAsia" w:ascii="楷体" w:hAnsi="楷体" w:eastAsia="楷体" w:cs="楷体"/>
          <w:color w:val="auto"/>
          <w:sz w:val="28"/>
          <w:szCs w:val="28"/>
          <w:highlight w:val="none"/>
          <w:lang w:val="en-US" w:eastAsia="zh-CN"/>
        </w:rPr>
        <w:t>安全生产等相关法律、法规规定及</w:t>
      </w:r>
      <w:r>
        <w:rPr>
          <w:rFonts w:hint="eastAsia" w:ascii="楷体" w:hAnsi="楷体" w:eastAsia="楷体" w:cs="楷体"/>
          <w:color w:val="auto"/>
          <w:sz w:val="28"/>
          <w:szCs w:val="28"/>
          <w:highlight w:val="none"/>
          <w:lang w:val="zh-CN"/>
        </w:rPr>
        <w:t>双方约定的条款，造成事故、险情的，由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lang w:val="zh-CN"/>
        </w:rPr>
        <w:t>方承担</w:t>
      </w:r>
      <w:r>
        <w:rPr>
          <w:rFonts w:hint="eastAsia" w:ascii="楷体" w:hAnsi="楷体" w:eastAsia="楷体" w:cs="楷体"/>
          <w:color w:val="auto"/>
          <w:sz w:val="28"/>
          <w:szCs w:val="28"/>
          <w:highlight w:val="none"/>
          <w:lang w:val="en-US" w:eastAsia="zh-CN"/>
        </w:rPr>
        <w:t>由此产生的一切法律</w:t>
      </w:r>
      <w:r>
        <w:rPr>
          <w:rFonts w:hint="eastAsia" w:ascii="楷体" w:hAnsi="楷体" w:eastAsia="楷体" w:cs="楷体"/>
          <w:color w:val="auto"/>
          <w:sz w:val="28"/>
          <w:szCs w:val="28"/>
          <w:highlight w:val="none"/>
          <w:lang w:val="zh-CN"/>
        </w:rPr>
        <w:t>责任</w:t>
      </w:r>
      <w:r>
        <w:rPr>
          <w:rFonts w:hint="eastAsia" w:ascii="楷体" w:hAnsi="楷体" w:eastAsia="楷体" w:cs="楷体"/>
          <w:color w:val="auto"/>
          <w:sz w:val="28"/>
          <w:szCs w:val="28"/>
          <w:highlight w:val="none"/>
          <w:lang w:val="en-US" w:eastAsia="zh-CN"/>
        </w:rPr>
        <w:t>包括但不限于民事责任、行政责任、刑事责任、赔偿甲方的全部损失，同时甲方有权扣除乙方违约金每次</w:t>
      </w:r>
      <w:r>
        <w:rPr>
          <w:rFonts w:hint="eastAsia" w:ascii="楷体" w:hAnsi="楷体" w:eastAsia="楷体" w:cs="楷体"/>
          <w:color w:val="auto"/>
          <w:sz w:val="28"/>
          <w:szCs w:val="28"/>
          <w:highlight w:val="none"/>
        </w:rPr>
        <w:t>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w:t>
      </w:r>
      <w:r>
        <w:rPr>
          <w:rFonts w:hint="eastAsia" w:ascii="楷体" w:hAnsi="楷体" w:eastAsia="楷体" w:cs="楷体"/>
          <w:color w:val="auto"/>
          <w:sz w:val="28"/>
          <w:szCs w:val="28"/>
          <w:highlight w:val="none"/>
          <w:lang w:val="en-US" w:eastAsia="zh-CN"/>
        </w:rPr>
        <w:t>（从履约保证金中扣除）。</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eastAsia="zh-CN"/>
        </w:rPr>
        <w:t>三、</w:t>
      </w:r>
      <w:r>
        <w:rPr>
          <w:rFonts w:hint="eastAsia" w:ascii="楷体" w:hAnsi="楷体" w:eastAsia="楷体" w:cs="楷体"/>
          <w:color w:val="auto"/>
          <w:sz w:val="28"/>
          <w:szCs w:val="28"/>
          <w:highlight w:val="none"/>
          <w:lang w:val="zh-CN"/>
        </w:rPr>
        <w:t>其他事项</w:t>
      </w:r>
    </w:p>
    <w:p>
      <w:pPr>
        <w:adjustRightInd w:val="0"/>
        <w:snapToGrid w:val="0"/>
        <w:spacing w:line="360" w:lineRule="auto"/>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rPr>
        <w:t>1</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zh-CN"/>
        </w:rPr>
        <w:t>本协议未尽事宜，双方另行商定，</w:t>
      </w:r>
      <w:r>
        <w:rPr>
          <w:rFonts w:hint="eastAsia" w:ascii="楷体" w:hAnsi="楷体" w:eastAsia="楷体" w:cs="楷体"/>
          <w:color w:val="auto"/>
          <w:sz w:val="28"/>
          <w:szCs w:val="28"/>
          <w:highlight w:val="none"/>
          <w:lang w:val="en-US" w:eastAsia="zh-CN"/>
        </w:rPr>
        <w:t>协商不成的，由甲方所在地法院管辖</w:t>
      </w:r>
      <w:r>
        <w:rPr>
          <w:rFonts w:hint="eastAsia" w:ascii="楷体" w:hAnsi="楷体" w:eastAsia="楷体" w:cs="楷体"/>
          <w:color w:val="auto"/>
          <w:sz w:val="28"/>
          <w:szCs w:val="28"/>
          <w:highlight w:val="none"/>
          <w:lang w:val="zh-CN"/>
        </w:rPr>
        <w:t>。</w:t>
      </w:r>
    </w:p>
    <w:p>
      <w:pPr>
        <w:adjustRightInd w:val="0"/>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w:t>
      </w:r>
      <w:r>
        <w:rPr>
          <w:rFonts w:hint="eastAsia" w:ascii="楷体" w:hAnsi="楷体" w:eastAsia="楷体" w:cs="楷体"/>
          <w:color w:val="auto"/>
          <w:sz w:val="28"/>
          <w:szCs w:val="28"/>
          <w:highlight w:val="none"/>
          <w:lang w:val="en-US" w:eastAsia="zh-CN"/>
        </w:rPr>
        <w:t>协议</w:t>
      </w:r>
      <w:r>
        <w:rPr>
          <w:rFonts w:hint="eastAsia" w:ascii="楷体" w:hAnsi="楷体" w:eastAsia="楷体" w:cs="楷体"/>
          <w:color w:val="auto"/>
          <w:sz w:val="28"/>
          <w:szCs w:val="28"/>
          <w:highlight w:val="none"/>
        </w:rPr>
        <w:t>一式肆份，甲、乙</w:t>
      </w:r>
      <w:r>
        <w:rPr>
          <w:rFonts w:hint="eastAsia" w:ascii="楷体" w:hAnsi="楷体" w:eastAsia="楷体" w:cs="楷体"/>
          <w:color w:val="auto"/>
          <w:sz w:val="28"/>
          <w:szCs w:val="28"/>
          <w:highlight w:val="none"/>
          <w:lang w:val="en-US" w:eastAsia="zh-CN"/>
        </w:rPr>
        <w:t>双方</w:t>
      </w:r>
      <w:r>
        <w:rPr>
          <w:rFonts w:hint="eastAsia" w:ascii="楷体" w:hAnsi="楷体" w:eastAsia="楷体" w:cs="楷体"/>
          <w:color w:val="auto"/>
          <w:sz w:val="28"/>
          <w:szCs w:val="28"/>
          <w:highlight w:val="none"/>
        </w:rPr>
        <w:t>各执贰份，自</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r>
        <w:rPr>
          <w:rFonts w:hint="eastAsia" w:ascii="楷体" w:hAnsi="楷体" w:eastAsia="楷体" w:cs="楷体"/>
          <w:color w:val="auto"/>
          <w:sz w:val="28"/>
          <w:szCs w:val="28"/>
          <w:highlight w:val="none"/>
          <w:lang w:val="en-US" w:eastAsia="zh-CN"/>
        </w:rPr>
        <w:t>之日起</w:t>
      </w:r>
      <w:r>
        <w:rPr>
          <w:rFonts w:hint="eastAsia" w:ascii="楷体" w:hAnsi="楷体" w:eastAsia="楷体" w:cs="楷体"/>
          <w:color w:val="auto"/>
          <w:sz w:val="28"/>
          <w:szCs w:val="28"/>
          <w:highlight w:val="none"/>
        </w:rPr>
        <w:t>生效。</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甲方（盖章）：</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（签名）：</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sz w:val="28"/>
          <w:szCs w:val="28"/>
          <w:highlight w:val="none"/>
        </w:rPr>
      </w:pPr>
      <w:r>
        <w:rPr>
          <w:rFonts w:hint="eastAsia" w:ascii="楷体" w:hAnsi="楷体" w:eastAsia="楷体" w:cs="楷体"/>
          <w:color w:val="auto"/>
          <w:sz w:val="28"/>
          <w:szCs w:val="28"/>
          <w:highlight w:val="none"/>
        </w:rPr>
        <w:t>签订日期：    年   月   日</w:t>
      </w:r>
    </w:p>
    <w:p>
      <w:pPr>
        <w:ind w:firstLine="0" w:firstLine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bl>
    <w:p>
      <w:pPr>
        <w:rPr>
          <w:rFonts w:eastAsia="仿宋_GB2312"/>
          <w:b/>
          <w:bCs/>
          <w:color w:val="auto"/>
          <w:szCs w:val="21"/>
          <w:highlight w:val="none"/>
        </w:rPr>
      </w:pPr>
      <w:r>
        <w:rPr>
          <w:rFonts w:eastAsia="仿宋_GB2312"/>
          <w:b/>
          <w:bCs/>
          <w:color w:val="auto"/>
          <w:szCs w:val="21"/>
          <w:highlight w:val="none"/>
        </w:rPr>
        <w:t xml:space="preserve"> </w:t>
      </w:r>
    </w:p>
    <w:p>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pPr>
        <w:ind w:left="440" w:hanging="440"/>
        <w:rPr>
          <w:rFonts w:eastAsia="仿宋_GB2312"/>
          <w:color w:val="auto"/>
          <w:szCs w:val="21"/>
          <w:highlight w:val="none"/>
        </w:rPr>
      </w:pPr>
      <w:r>
        <w:rPr>
          <w:rFonts w:eastAsia="仿宋_GB2312"/>
          <w:color w:val="auto"/>
          <w:szCs w:val="21"/>
          <w:highlight w:val="non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pPr>
        <w:rPr>
          <w:rFonts w:eastAsia="仿宋_GB2312"/>
          <w:b/>
          <w:bCs/>
          <w:color w:val="auto"/>
          <w:szCs w:val="21"/>
          <w:highlight w:val="none"/>
        </w:rPr>
      </w:pPr>
    </w:p>
    <w:p>
      <w:pPr>
        <w:rPr>
          <w:rFonts w:eastAsia="仿宋_GB2312"/>
          <w:b/>
          <w:bCs/>
          <w:color w:val="auto"/>
          <w:szCs w:val="21"/>
          <w:highlight w:val="none"/>
        </w:rPr>
      </w:pPr>
    </w:p>
    <w:p>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highlight w:val="none"/>
        </w:rPr>
        <w:t>；涉嫌犯罪的，移交司法机关追究刑事责任；给甲方单位造成经济损失的，应予以赔偿。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rPr>
        <w:t>后立即生效，至租赁合同结束时</w:t>
      </w:r>
      <w:r>
        <w:rPr>
          <w:rFonts w:hint="eastAsia" w:ascii="楷体" w:hAnsi="楷体" w:eastAsia="楷体" w:cs="楷体"/>
          <w:color w:val="auto"/>
          <w:sz w:val="28"/>
          <w:szCs w:val="28"/>
          <w:highlight w:val="none"/>
          <w:lang w:val="en-US" w:eastAsia="zh-CN"/>
        </w:rPr>
        <w:t>终</w:t>
      </w:r>
      <w:r>
        <w:rPr>
          <w:rFonts w:hint="eastAsia" w:ascii="楷体" w:hAnsi="楷体" w:eastAsia="楷体" w:cs="楷体"/>
          <w:color w:val="auto"/>
          <w:sz w:val="28"/>
          <w:szCs w:val="28"/>
          <w:highlight w:val="none"/>
        </w:rPr>
        <w:t>止。</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合同</w:t>
      </w:r>
      <w:r>
        <w:rPr>
          <w:rFonts w:hint="eastAsia" w:ascii="楷体" w:hAnsi="楷体" w:eastAsia="楷体" w:cs="楷体"/>
          <w:color w:val="auto"/>
          <w:sz w:val="28"/>
          <w:szCs w:val="28"/>
          <w:highlight w:val="none"/>
        </w:rPr>
        <w:t>签署页）</w:t>
      </w: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pPr>
        <w:rPr>
          <w:rFonts w:ascii="楷体" w:hAnsi="楷体" w:eastAsia="楷体" w:cs="楷体"/>
          <w:sz w:val="28"/>
          <w:szCs w:val="28"/>
          <w:highlight w:val="none"/>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418D7B-88BD-4261-9D10-E8D0A9287C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0BA3DA5A-8D3F-49A5-8F08-236042AFEE4F}"/>
  </w:font>
  <w:font w:name="楷体">
    <w:panose1 w:val="02010609060101010101"/>
    <w:charset w:val="86"/>
    <w:family w:val="modern"/>
    <w:pitch w:val="default"/>
    <w:sig w:usb0="800002BF" w:usb1="38CF7CFA" w:usb2="00000016" w:usb3="00000000" w:csb0="00040001" w:csb1="00000000"/>
    <w:embedRegular r:id="rId3" w:fontKey="{CF00A457-90FA-4014-9D3F-678CF3A125DB}"/>
  </w:font>
  <w:font w:name="仿宋_GB2312">
    <w:panose1 w:val="02010609030101010101"/>
    <w:charset w:val="86"/>
    <w:family w:val="auto"/>
    <w:pitch w:val="default"/>
    <w:sig w:usb0="00000001" w:usb1="080E0000" w:usb2="00000000" w:usb3="00000000" w:csb0="00040000" w:csb1="00000000"/>
    <w:embedRegular r:id="rId4" w:fontKey="{6BBE3D7C-C0AA-4DDA-8D5F-801EC6822A25}"/>
  </w:font>
  <w:font w:name="仿宋">
    <w:panose1 w:val="02010609060101010101"/>
    <w:charset w:val="86"/>
    <w:family w:val="auto"/>
    <w:pitch w:val="default"/>
    <w:sig w:usb0="800002BF" w:usb1="38CF7CFA" w:usb2="00000016" w:usb3="00000000" w:csb0="00040001" w:csb1="00000000"/>
    <w:embedRegular r:id="rId5" w:fontKey="{96D2B6F3-F737-4CDA-8F69-FA9471D89A8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AEB1FCF"/>
    <w:rsid w:val="2B681F2A"/>
    <w:rsid w:val="2BC76A39"/>
    <w:rsid w:val="2C992F37"/>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21F19"/>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65433A"/>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15986</Words>
  <Characters>16431</Characters>
  <Lines>127</Lines>
  <Paragraphs>35</Paragraphs>
  <TotalTime>59</TotalTime>
  <ScaleCrop>false</ScaleCrop>
  <LinksUpToDate>false</LinksUpToDate>
  <CharactersWithSpaces>17876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王际超</cp:lastModifiedBy>
  <cp:lastPrinted>2025-04-17T07:16:00Z</cp:lastPrinted>
  <dcterms:modified xsi:type="dcterms:W3CDTF">2025-08-12T04:22:35Z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A7215BA1772043C9B86FD297DE8AB1FD</vt:lpwstr>
  </property>
  <property fmtid="{D5CDD505-2E9C-101B-9397-08002B2CF9AE}" pid="4" name="KSOTemplateDocerSaveRecord">
    <vt:lpwstr>eyJoZGlkIjoiNzIyYWFjNDUxNzBjZDA0MGY4ODY5ZDM0NThkYWM3NjUiLCJ1c2VySWQiOiIzMjE5MTUyMDcifQ==</vt:lpwstr>
  </property>
</Properties>
</file>