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杭州市滨江区滨江人才公寓商铺93、94号房屋5年租赁权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、若我方成为承租方，我方知悉并同意：本次租赁房屋质量、具体位置、现有交通组织、房屋面积和土地面积、门窗、水电表等以现场实际为准，交付按移交时现状进行，不保证装修、装饰物、构筑物的完好。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若我方成为承租方，我方知悉并同意：承租方从事的各项活动均须符合国家法律、法规的规定，不得经营不符合环保要求、存在消防安全隐患的经营项目。承租方应遵守当地政府有关物业使用和物业管理的规定。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若我方成为承租方，我方知悉并同意：本次招租房屋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2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若我方成为承租方，我方知悉并同意：装修保证金不能冲抵租金、物业服务费、水电费等费用，仅作为约束承租方进行规范装修的保证，装修完毕经出租方与物业公司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、若我方成为承租方，我方知悉并同意：租赁期限内的物业费由承租方自行承担，租赁房屋交房时，承租方应向出租方委托的物业管理公司交纳相应的物业管理费。租赁房屋202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度物业费为3.04元/月/㎡（含公共能耗费）；租赁期限内，如有调整物业费（能耗费）的，按调整后物业收费标准执行。租赁期内产生的水、电、物业服务等各项费用由承租方自行承担、自行按时向出租方（或出租方委托的单位）缴纳，水电费价格暂按人才公寓现有价格执行（目前水为4.4元/吨，电为0.8元/度，每月抄表收费），如有调整按调整价格执行。承租方安装广告牌、标示标牌、空调等设施设备的，需首先向出租方报备同意，服从物业管理规定，不得影响毗邻物业和他人正常生活、经营；政府或行业部门如有要求须办理审批或备案等手续的，需遵照执行。</w:t>
      </w:r>
      <w:bookmarkStart w:id="0" w:name="_GoBack"/>
      <w:bookmarkEnd w:id="0"/>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DE64B98"/>
    <w:rsid w:val="2E6953D9"/>
    <w:rsid w:val="3AD83A40"/>
    <w:rsid w:val="3C2C4C6F"/>
    <w:rsid w:val="3C940D63"/>
    <w:rsid w:val="3D4E2474"/>
    <w:rsid w:val="3EBF19DA"/>
    <w:rsid w:val="45F94112"/>
    <w:rsid w:val="46B466DD"/>
    <w:rsid w:val="494F753A"/>
    <w:rsid w:val="4AFF3DA7"/>
    <w:rsid w:val="4CC66179"/>
    <w:rsid w:val="4D3434AB"/>
    <w:rsid w:val="4E0013D2"/>
    <w:rsid w:val="4F875EBF"/>
    <w:rsid w:val="51317EBA"/>
    <w:rsid w:val="52E61490"/>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4</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2025-07-16T04:55:55Z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