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杭州市上城区白马庄街10号房屋5年租赁权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w:t>
      </w:r>
      <w:bookmarkStart w:id="0" w:name="_GoBack"/>
      <w:bookmarkEnd w:id="0"/>
      <w:r>
        <w:rPr>
          <w:rFonts w:hint="eastAsia" w:asciiTheme="minorEastAsia" w:hAnsiTheme="minorEastAsia" w:eastAsiaTheme="minorEastAsia"/>
          <w:szCs w:val="21"/>
        </w:rPr>
        <w:t>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B953B2"/>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209558D7"/>
    <w:rsid w:val="2164102D"/>
    <w:rsid w:val="21D62F05"/>
    <w:rsid w:val="224C47AB"/>
    <w:rsid w:val="22EF036A"/>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A200AC"/>
    <w:rsid w:val="380B12B2"/>
    <w:rsid w:val="384E2216"/>
    <w:rsid w:val="38CB4108"/>
    <w:rsid w:val="38DD4350"/>
    <w:rsid w:val="39E9751C"/>
    <w:rsid w:val="3A4574B2"/>
    <w:rsid w:val="3AC218E1"/>
    <w:rsid w:val="3B2E3F4D"/>
    <w:rsid w:val="3B872449"/>
    <w:rsid w:val="3C2C0B99"/>
    <w:rsid w:val="3CB624B8"/>
    <w:rsid w:val="3D8D11E6"/>
    <w:rsid w:val="3E366EA5"/>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F092F78"/>
    <w:rsid w:val="4F201E42"/>
    <w:rsid w:val="4FBC2F5F"/>
    <w:rsid w:val="50A66A53"/>
    <w:rsid w:val="52212BBB"/>
    <w:rsid w:val="54130175"/>
    <w:rsid w:val="54AC0761"/>
    <w:rsid w:val="5502046E"/>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2025-07-15T06:18:08Z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8F89A09FCC4241E5B7EB481AA8239838</vt:lpwstr>
  </property>
</Properties>
</file>