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w:t>
      </w:r>
      <w:r>
        <w:rPr>
          <w:rFonts w:hint="eastAsia" w:asciiTheme="minorEastAsia" w:hAnsiTheme="minorEastAsia" w:eastAsiaTheme="minorEastAsia" w:cstheme="minorEastAsia"/>
          <w:sz w:val="24"/>
          <w:szCs w:val="24"/>
          <w:highlight w:val="none"/>
          <w:u w:val="none"/>
          <w:lang w:val="en-US" w:eastAsia="zh-CN"/>
        </w:rPr>
        <w:t>唐某娣</w:t>
      </w:r>
      <w:r>
        <w:rPr>
          <w:rFonts w:hint="eastAsia" w:asciiTheme="minorEastAsia" w:hAnsiTheme="minorEastAsia" w:eastAsiaTheme="minorEastAsia" w:cstheme="minorEastAsia"/>
          <w:sz w:val="24"/>
          <w:szCs w:val="24"/>
          <w:highlight w:val="none"/>
          <w:u w:val="none"/>
        </w:rPr>
        <w:t>债权</w:t>
      </w:r>
      <w:bookmarkStart w:id="0" w:name="_GoBack"/>
      <w:bookmarkEnd w:id="0"/>
      <w:r>
        <w:rPr>
          <w:rFonts w:hint="eastAsia" w:asciiTheme="minorEastAsia" w:hAnsiTheme="minorEastAsia" w:eastAsiaTheme="minorEastAsia" w:cstheme="minorEastAsia"/>
          <w:sz w:val="24"/>
          <w:szCs w:val="24"/>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4、我方同意按照转让方要求10个工作日内自行与转让方完成确认和签署《债权转让协议》。</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向转让方指定账户（户名：浙江稠州商业银行股份有限公司杭州分行；开户行：浙江稠州商业银行股份有限公司杭州分行；帐号：18801012010390000731），详见《债权转让协议》具体约定。</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浙江稠州商业银行股份有限公司杭州分行；开户行：浙江稠州商业银行股份有限公司杭州分行；帐号：18801012010390000731）。</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145A18"/>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8963307"/>
    <w:rsid w:val="49C56D6D"/>
    <w:rsid w:val="4A0A2EFA"/>
    <w:rsid w:val="4C1C6969"/>
    <w:rsid w:val="4D5779D6"/>
    <w:rsid w:val="4DE741D0"/>
    <w:rsid w:val="508852FA"/>
    <w:rsid w:val="50CB2850"/>
    <w:rsid w:val="5187378F"/>
    <w:rsid w:val="5381202D"/>
    <w:rsid w:val="57394793"/>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2025-07-10T05:35:46Z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