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我方拟承租杭州市拱墅区余杭塘路478号阮家桥公交停保基地8幢（辅助楼）1-3层部分、4层整层房屋5年租赁权，现做如下承诺：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Cs w:val="21"/>
          <w:highlight w:val="none"/>
        </w:rPr>
        <w:t>同意在被确定为承租方之日起3个工作日内，携带报名时上传的主体资格证明等相关文件原件至杭交所完成现场确认和签署《成交通知书》、《房屋租赁合同》及其附件；并在被确定为承租方之日起</w:t>
      </w:r>
      <w:r>
        <w:rPr>
          <w:rFonts w:hint="eastAsia" w:ascii="宋体" w:hAnsi="宋体"/>
          <w:szCs w:val="21"/>
          <w:highlight w:val="none"/>
          <w:lang w:val="en-US" w:eastAsia="zh-CN"/>
        </w:rPr>
        <w:t>8</w:t>
      </w:r>
      <w:r>
        <w:rPr>
          <w:rFonts w:hint="eastAsia" w:ascii="宋体" w:hAnsi="宋体"/>
          <w:szCs w:val="21"/>
          <w:highlight w:val="none"/>
        </w:rPr>
        <w:t>个工作日内向杭交所指定账户一次性支付首期租金、交易服务费和履约保证金等交易资金（已到账为准）。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4、若我方成为承租方，我方已知悉并同意：同意杭交所在经出租方申请之日起3个工作日内将承租方已交纳的履约保证金、首期租金划转至出租方指定账户。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《房屋租赁合同》签署时，承租方应自行与现场物业管理公司签署物业管理协议并缴纳物业管理费。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租赁房屋所属地块不动产权证证载权利性质为划拨/自建房，证载房屋用途为街巷用地/非住宅，所属地块不动产权证附记记载：该宗地批准用途为公交停保基地。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合同无法履行、投入成本、装修损失、经营预期收益等承担任何形式的赔偿或补偿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、若我方成为承租方，我方已知悉并同意：出租方保证租赁房屋产权无争议，但可提供的租赁房屋的权属资料仅限于不动产权证（证号：浙[2018]杭州市不动产权第0028046号）等（具体详见</w:t>
      </w:r>
      <w:r>
        <w:rPr>
          <w:rFonts w:hint="eastAsia" w:ascii="宋体" w:hAnsi="宋体"/>
          <w:szCs w:val="21"/>
          <w:highlight w:val="none"/>
          <w:lang w:eastAsia="zh-CN"/>
        </w:rPr>
        <w:t>《</w:t>
      </w:r>
      <w:r>
        <w:rPr>
          <w:rFonts w:hint="eastAsia" w:ascii="宋体" w:hAnsi="宋体"/>
          <w:szCs w:val="21"/>
          <w:highlight w:val="none"/>
          <w:lang w:val="en-US" w:eastAsia="zh-CN"/>
        </w:rPr>
        <w:t>房屋租赁</w:t>
      </w:r>
      <w:r>
        <w:rPr>
          <w:rFonts w:hint="eastAsia" w:ascii="宋体" w:hAnsi="宋体"/>
          <w:szCs w:val="21"/>
          <w:highlight w:val="none"/>
        </w:rPr>
        <w:t>合同</w:t>
      </w:r>
      <w:r>
        <w:rPr>
          <w:rFonts w:hint="eastAsia" w:ascii="宋体" w:hAnsi="宋体"/>
          <w:szCs w:val="21"/>
          <w:highlight w:val="none"/>
          <w:lang w:eastAsia="zh-CN"/>
        </w:rPr>
        <w:t>》（</w:t>
      </w:r>
      <w:r>
        <w:rPr>
          <w:rFonts w:hint="eastAsia" w:ascii="宋体" w:hAnsi="宋体"/>
          <w:szCs w:val="21"/>
          <w:highlight w:val="none"/>
          <w:lang w:val="en-US" w:eastAsia="zh-CN"/>
        </w:rPr>
        <w:t>样本）</w:t>
      </w:r>
      <w:r>
        <w:rPr>
          <w:rFonts w:hint="eastAsia" w:ascii="宋体" w:hAnsi="宋体"/>
          <w:szCs w:val="21"/>
          <w:highlight w:val="none"/>
        </w:rPr>
        <w:t>附件</w:t>
      </w:r>
      <w:bookmarkStart w:id="0" w:name="_GoBack"/>
      <w:bookmarkEnd w:id="0"/>
      <w:r>
        <w:rPr>
          <w:rFonts w:hint="eastAsia" w:asciiTheme="minorEastAsia" w:hAnsiTheme="minorEastAsia" w:eastAsiaTheme="minorEastAsia"/>
          <w:szCs w:val="21"/>
        </w:rPr>
        <w:t>）。意向承租方应对房屋权属资料可能对后续经营开展、获取审批许可等可能的不利影响作充分了解和预判，包括不能获得既定开设审批、无法办理租赁备案证、无法作为工商登记地址等风险在内。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本次标的涉及房屋以实际交付时的现状为准。</w:t>
      </w:r>
      <w:r>
        <w:rPr>
          <w:rFonts w:hint="eastAsia"/>
          <w:highlight w:val="none"/>
        </w:rPr>
        <w:t>出租方房屋原为毛坯状态，现场现有可见租赁房屋的装修及设施设备部分不属于出租方投入，存在交付前因实际使用人/投入人对装修及设施设备进行拆除或破坏的可能，故租赁房屋装修及设备设施不以目前展示现状为准，租赁房屋移交时不保证装修、装饰物及设备设施的完好。意向承租方可向出租方索要项目图纸以了解房屋装修前的原始状态。且意向承租人知悉并认可，无论交付时的现状如何，</w:t>
      </w:r>
      <w:r>
        <w:rPr>
          <w:rFonts w:hint="eastAsia" w:ascii="宋体" w:hAnsi="宋体"/>
          <w:szCs w:val="21"/>
          <w:highlight w:val="none"/>
        </w:rPr>
        <w:t>对房屋交付时可能存在的除主体结构之外的质量问题和使用瑕疵所需的成本投入和周期均已考虑进招租底价，出租方不再安排修复或作其他投入。意向承租方应在竞租之前，自行至该房屋进行充分的踏勘与了解，并结合出租方的披露信息进行相关评估考虑。出租方对房屋的介绍与评价均为参考意见，不构成担保性约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如本次标的涉及房屋及所属土地因社会公共利益或城市建设需要被政府依法征收的或出租方重新规划用途须提前收回该处房屋（部分房屋）的，承租方须在通知之日起三个月内无条件退还该房屋，租金按实结算。</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房屋租赁相关的双方权利义务将以出租方提供的《房屋租赁合同》、《物业安全管理协议》为准。意向承租方应在报名前详细阅读《房屋租赁合同》、《物业安全管理协议》样本所载条款，并确认对条款内容已全面理解无误。</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意向承租方参与竞租的行为将被视为已经全面阅读并准确理解全部竞租文件，已认真充分踏勘、了解该房屋现状、设施及房屋环境等现状信息，对有关经营风险也已作出应有的充分预判和决策，且愿意接受《房屋租赁合同》、《物业安全管理协议》的全部条款约束，承诺履行有关承租方义务，并承担风险和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租金中不包含任何租赁过程中可能产生的使用费用，包括物业费、水费、电费、电话费、网络费等常规发生的使用费用，也不包括将来可能发生的政府有关部门征收的、与使用该房屋有关的税、费等。该等使用费用均将由承租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若我方成为承租方，我方已知悉并同意：</w:t>
      </w:r>
      <w:r>
        <w:rPr>
          <w:rFonts w:hint="eastAsia" w:ascii="宋体" w:hAnsi="宋体"/>
          <w:szCs w:val="21"/>
          <w:highlight w:val="none"/>
          <w:lang w:val="en-US" w:eastAsia="zh-CN"/>
        </w:rPr>
        <w:t>若承租方</w:t>
      </w:r>
      <w:r>
        <w:rPr>
          <w:rFonts w:hint="eastAsia" w:ascii="宋体" w:hAnsi="宋体"/>
          <w:szCs w:val="21"/>
          <w:highlight w:val="none"/>
        </w:rPr>
        <w:t>未按照</w:t>
      </w:r>
      <w:r>
        <w:rPr>
          <w:rFonts w:hint="eastAsia" w:ascii="宋体" w:hAnsi="宋体"/>
          <w:szCs w:val="21"/>
          <w:highlight w:val="none"/>
          <w:lang w:val="en-US" w:eastAsia="zh-CN"/>
        </w:rPr>
        <w:t>招租公告明</w:t>
      </w:r>
      <w:r>
        <w:rPr>
          <w:rFonts w:hint="eastAsia" w:ascii="宋体" w:hAnsi="宋体"/>
          <w:szCs w:val="21"/>
          <w:highlight w:val="none"/>
        </w:rPr>
        <w:t>确的期限足额支付首期租金、履约保证金的，则视为根本性违约。</w:t>
      </w:r>
      <w:r>
        <w:rPr>
          <w:rFonts w:hint="eastAsia" w:ascii="宋体" w:hAnsi="宋体"/>
          <w:szCs w:val="21"/>
          <w:highlight w:val="none"/>
          <w:lang w:val="en-US" w:eastAsia="zh-CN"/>
        </w:rPr>
        <w:t>出租</w:t>
      </w:r>
      <w:r>
        <w:rPr>
          <w:rFonts w:hint="eastAsia" w:ascii="宋体" w:hAnsi="宋体"/>
          <w:szCs w:val="21"/>
          <w:highlight w:val="none"/>
        </w:rPr>
        <w:t>方有权单方面解除合同，另行招租。</w:t>
      </w:r>
      <w:r>
        <w:rPr>
          <w:rFonts w:hint="eastAsia" w:ascii="宋体" w:hAnsi="宋体"/>
          <w:szCs w:val="21"/>
          <w:highlight w:val="none"/>
          <w:lang w:val="en-US" w:eastAsia="zh-CN"/>
        </w:rPr>
        <w:t>承租方</w:t>
      </w:r>
      <w:r>
        <w:rPr>
          <w:rFonts w:hint="eastAsia" w:ascii="宋体" w:hAnsi="宋体"/>
          <w:szCs w:val="21"/>
          <w:highlight w:val="none"/>
        </w:rPr>
        <w:t>已向杭</w:t>
      </w:r>
      <w:r>
        <w:rPr>
          <w:rFonts w:hint="eastAsia" w:ascii="宋体" w:hAnsi="宋体"/>
          <w:szCs w:val="21"/>
          <w:highlight w:val="none"/>
          <w:lang w:val="en-US" w:eastAsia="zh-CN"/>
        </w:rPr>
        <w:t>交</w:t>
      </w:r>
      <w:r>
        <w:rPr>
          <w:rFonts w:hint="eastAsia" w:ascii="宋体" w:hAnsi="宋体"/>
          <w:szCs w:val="21"/>
          <w:highlight w:val="none"/>
        </w:rPr>
        <w:t>所交纳的交易保证金不予退还。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租赁期内，</w:t>
      </w:r>
      <w:r>
        <w:rPr>
          <w:rFonts w:hint="eastAsia" w:ascii="宋体" w:hAnsi="宋体"/>
          <w:szCs w:val="21"/>
          <w:highlight w:val="none"/>
          <w:lang w:val="en-US" w:eastAsia="zh-CN"/>
        </w:rPr>
        <w:t>承租方未经出租方书面同意不得擅自转租，承租方确需转租的，应向出租方提出书面申请，由市城投集团审议决策</w:t>
      </w:r>
      <w:r>
        <w:rPr>
          <w:rFonts w:hint="eastAsia" w:ascii="宋体" w:hAnsi="宋体"/>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宋体" w:hAnsi="宋体"/>
          <w:szCs w:val="21"/>
          <w:highlight w:val="none"/>
          <w:lang w:val="en-US" w:eastAsia="zh-CN"/>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szCs w:val="21"/>
          <w:highlight w:val="none"/>
          <w:lang w:eastAsia="zh-CN"/>
        </w:rPr>
        <w:t>因出租方合同备案管理需要，承租方签订完成</w:t>
      </w:r>
      <w:r>
        <w:rPr>
          <w:rFonts w:hint="eastAsia" w:ascii="宋体" w:hAnsi="宋体" w:eastAsia="宋体" w:cs="Times New Roman"/>
          <w:szCs w:val="21"/>
          <w:highlight w:val="none"/>
          <w:lang w:val="en-US" w:eastAsia="zh-CN"/>
        </w:rPr>
        <w:t>《房屋租赁合同》并支付交易资金后，需在出租方通知的时间内前往出租方处签署《房屋租赁合同》水印</w:t>
      </w:r>
      <w:r>
        <w:rPr>
          <w:rFonts w:hint="eastAsia" w:ascii="宋体" w:hAnsi="宋体"/>
          <w:szCs w:val="21"/>
          <w:highlight w:val="none"/>
          <w:lang w:val="en-US" w:eastAsia="zh-CN"/>
        </w:rPr>
        <w:t>版本。该合同的签订为合同备案管理需要，不影响前述起租日及交易资金支付时间的计算或确定，与通过杭交所签订的《房屋租赁合同》条款一致。</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按以下标准向杭交所支付交易服务费：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（1）本次交易有二个及以上意向承租方报名且成交的，承租方须缴纳按首年一个月租金计取的交易服务费；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（2）本次交易只有一位意向承租方且成交的，承租方须缴纳按首年半个月租金计取的交易服务费。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（3）在被确定为承租方后未按约定签署《房屋租赁合同》及附件的或未按约定支付交易服务费、履约保证金和首期租金的；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D94E48"/>
    <w:rsid w:val="061C73F5"/>
    <w:rsid w:val="07D87335"/>
    <w:rsid w:val="09CB60AF"/>
    <w:rsid w:val="0A25564B"/>
    <w:rsid w:val="0AA1739C"/>
    <w:rsid w:val="0B8021F3"/>
    <w:rsid w:val="0E522510"/>
    <w:rsid w:val="0ED418D7"/>
    <w:rsid w:val="0F1D04FF"/>
    <w:rsid w:val="0F971788"/>
    <w:rsid w:val="0FEC78F6"/>
    <w:rsid w:val="117612B0"/>
    <w:rsid w:val="13B849C4"/>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63D098F"/>
    <w:rsid w:val="271745FD"/>
    <w:rsid w:val="2731534B"/>
    <w:rsid w:val="279515A0"/>
    <w:rsid w:val="28CD421D"/>
    <w:rsid w:val="29064147"/>
    <w:rsid w:val="2B224A23"/>
    <w:rsid w:val="2BD51F6B"/>
    <w:rsid w:val="2BE5620F"/>
    <w:rsid w:val="2BEE0A70"/>
    <w:rsid w:val="2DE64B98"/>
    <w:rsid w:val="2E6953D9"/>
    <w:rsid w:val="30DD554D"/>
    <w:rsid w:val="332613DB"/>
    <w:rsid w:val="3480309A"/>
    <w:rsid w:val="35202E1B"/>
    <w:rsid w:val="35DF081E"/>
    <w:rsid w:val="382052E5"/>
    <w:rsid w:val="39CC2EE8"/>
    <w:rsid w:val="3AD83A40"/>
    <w:rsid w:val="3C1B0610"/>
    <w:rsid w:val="3C2C4C6F"/>
    <w:rsid w:val="3C5A318A"/>
    <w:rsid w:val="3C940D63"/>
    <w:rsid w:val="3D4E2474"/>
    <w:rsid w:val="3EBF19DA"/>
    <w:rsid w:val="3F403481"/>
    <w:rsid w:val="45CF3BF7"/>
    <w:rsid w:val="45F94112"/>
    <w:rsid w:val="46C45581"/>
    <w:rsid w:val="47562A55"/>
    <w:rsid w:val="48C749F6"/>
    <w:rsid w:val="494F753A"/>
    <w:rsid w:val="4AFF3DA7"/>
    <w:rsid w:val="4CC66179"/>
    <w:rsid w:val="4E0013D2"/>
    <w:rsid w:val="4E5A0CE2"/>
    <w:rsid w:val="51317EBA"/>
    <w:rsid w:val="52C93621"/>
    <w:rsid w:val="54E742B4"/>
    <w:rsid w:val="563F5F26"/>
    <w:rsid w:val="5687200B"/>
    <w:rsid w:val="56EE2F1F"/>
    <w:rsid w:val="57AC3470"/>
    <w:rsid w:val="584668FF"/>
    <w:rsid w:val="590122F3"/>
    <w:rsid w:val="5A0A51C8"/>
    <w:rsid w:val="5DB959AE"/>
    <w:rsid w:val="5E0F1804"/>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8A15C46"/>
    <w:rsid w:val="78CC383E"/>
    <w:rsid w:val="79115EB0"/>
    <w:rsid w:val="79C72B94"/>
    <w:rsid w:val="7AD361AC"/>
    <w:rsid w:val="7BB1593A"/>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2025-07-10T07:46:23Z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