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我方拟承租杭州市紫荆花路397-9号一楼等3处房屋59个月租赁权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在被确定为承租方之日起5个工作日内，携带承租申请材料原件到杭交所完成现场确认并签署《成交通知书》、交易记录等文件，并在《成交通知书》签署之日向杭交所指定账户一次性支付交易服务费、履约保证金、首期租金等交易资金（以到账时间为准）。承租方付清全部交易资金并且完成杭交所材料签署后，在出租方指定时间地点签署《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5、同意在合同签署之前已自行核实该租赁房屋可用于的业态用途，该业态符合政府相关规定，否则一切责任自行承担。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601EED"/>
    <w:rsid w:val="0ED418D7"/>
    <w:rsid w:val="0FEC78F6"/>
    <w:rsid w:val="11B52ECD"/>
    <w:rsid w:val="14AA0180"/>
    <w:rsid w:val="14BE7966"/>
    <w:rsid w:val="16034218"/>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9D756B8"/>
    <w:rsid w:val="2A6F7698"/>
    <w:rsid w:val="2B224A23"/>
    <w:rsid w:val="2B6C37A5"/>
    <w:rsid w:val="2B9B7010"/>
    <w:rsid w:val="2C704540"/>
    <w:rsid w:val="2DE64B98"/>
    <w:rsid w:val="2E6953D9"/>
    <w:rsid w:val="2EC87F07"/>
    <w:rsid w:val="32EC251B"/>
    <w:rsid w:val="34BB4DF7"/>
    <w:rsid w:val="37F17172"/>
    <w:rsid w:val="3AD83A40"/>
    <w:rsid w:val="3C2C4C6F"/>
    <w:rsid w:val="3C940D63"/>
    <w:rsid w:val="3D4E2474"/>
    <w:rsid w:val="3D604816"/>
    <w:rsid w:val="3EBF19DA"/>
    <w:rsid w:val="3FD020C7"/>
    <w:rsid w:val="45F94112"/>
    <w:rsid w:val="494F753A"/>
    <w:rsid w:val="4AFF3DA7"/>
    <w:rsid w:val="4BDE594D"/>
    <w:rsid w:val="4C590FF4"/>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2025-07-09T05:52:37Z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