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bookmarkStart w:id="0" w:name="OLE_LINK2"/>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杭州市</w:t>
      </w:r>
      <w:bookmarkEnd w:id="0"/>
      <w:bookmarkStart w:id="1" w:name="OLE_LINK55"/>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独城206号8幢部分房地产7年租赁权</w:t>
      </w:r>
      <w:bookmarkEnd w:id="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bookmarkStart w:id="2" w:name="OLE_LINK46"/>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同意在被确定为承租方之日起3个工作日内携带报名时上传的主体资格证明等相关文件原件至杭交所完成现场确认和签署《成交通知书》、《房屋租赁合同》等相关文件；并在《成交通知书》、《房屋租赁合同》等相关文件签署之日起10个工作日内向杭交所指定账户一次性支付首期租金、履约保证金（首年3个月租金）、装修保证金（首年3个月租金）、交易服务费等交易资金（以到账时间为准）</w:t>
      </w:r>
      <w:bookmarkEnd w:id="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同意杭交所经出租方申请之日起3个工作日内将承租方已交纳的首期租金、履约保证金、装修保证金等交易资金全部划转至出租方指定账户。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租赁房屋的不动产权证证载用途为公共设施用地/物资库房等，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w:t>
      </w:r>
      <w:bookmarkStart w:id="3" w:name="OLE_LINK4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bookmarkEnd w:id="3"/>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w:t>
      </w:r>
      <w:bookmarkStart w:id="4" w:name="OLE_LINK5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租方如需对房屋进行装修改造或增扩设备时，应事先征得出租方的书面同意，按规定向有关部门办理申报手续后，方可进行，并需提交装修图纸、工程决算资料、工程费发票等相关证明资料，并办理施工图审查、消防审查等手续。</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bookmarkStart w:id="5" w:name="OLE_LINK53"/>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须严格按照出租方确定的租赁房屋用途开展经营活动，</w:t>
      </w:r>
      <w:bookmarkEnd w:id="5"/>
      <w:bookmarkStart w:id="6" w:name="_Hlk43218083"/>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未经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方书面同意，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擅自将房屋转租、转让、转借他人或调换使用。</w:t>
      </w:r>
      <w:bookmarkEnd w:id="6"/>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租赁期内该房屋全部或部分被用作</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以外的其他任何单位的办公、经营、仓储等用途的，视为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擅自转租、转让、转借、调换。</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出租方和承租方的相关权利义务以出租方提供的《房屋租赁合同》（样本）为准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（3）在被确定为承租方后未按约定签署《房屋租赁合同》的或未按约定支付首期租金、交易服务费、装修保证金、履约保证金的；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bookmarkStart w:id="7" w:name="_GoBack"/>
      <w:bookmarkEnd w:id="7"/>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8D6142"/>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A11F39"/>
    <w:rsid w:val="1BF84071"/>
    <w:rsid w:val="1C5609A5"/>
    <w:rsid w:val="1CBF22CE"/>
    <w:rsid w:val="1CBF37C0"/>
    <w:rsid w:val="1E116E93"/>
    <w:rsid w:val="1E2D5CBF"/>
    <w:rsid w:val="2211247F"/>
    <w:rsid w:val="226F7105"/>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EFF59D3"/>
    <w:rsid w:val="2F1E77C3"/>
    <w:rsid w:val="2F4F78D8"/>
    <w:rsid w:val="2F603CDA"/>
    <w:rsid w:val="2F682983"/>
    <w:rsid w:val="2FA5177C"/>
    <w:rsid w:val="300F085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BA5405E"/>
    <w:rsid w:val="4CA44BB6"/>
    <w:rsid w:val="4E376061"/>
    <w:rsid w:val="502F6799"/>
    <w:rsid w:val="5187378F"/>
    <w:rsid w:val="530C093A"/>
    <w:rsid w:val="53241334"/>
    <w:rsid w:val="53E378B1"/>
    <w:rsid w:val="566C6246"/>
    <w:rsid w:val="574E5FE2"/>
    <w:rsid w:val="58B12DCB"/>
    <w:rsid w:val="5A7D1B2E"/>
    <w:rsid w:val="5B673ED8"/>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8">
    <w:name w:val="NormalIndent"/>
    <w:basedOn w:val="1"/>
    <w:qFormat/>
    <w:uiPriority w:val="0"/>
    <w:pPr>
      <w:ind w:firstLine="420"/>
    </w:pPr>
    <w:rPr>
      <w:rFonts w:ascii="Calibri"/>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2025-07-04T09:42:27Z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