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24"/>
          <w:szCs w:val="24"/>
        </w:rPr>
      </w:pPr>
      <w:r>
        <w:rPr>
          <w:rFonts w:hint="eastAsia" w:ascii="黑体" w:hAnsi="黑体" w:eastAsia="黑体"/>
          <w:b/>
          <w:sz w:val="24"/>
          <w:szCs w:val="24"/>
        </w:rPr>
        <w:t>承诺函</w:t>
      </w:r>
    </w:p>
    <w:p>
      <w:pPr>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杭州产权交易所有限责任公司：</w:t>
      </w:r>
    </w:p>
    <w:p>
      <w:pPr>
        <w:spacing w:line="4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我方拟承租杭州市上城区凯旋路58号25幢2单元102室房屋3年租赁权</w:t>
      </w:r>
      <w:bookmarkStart w:id="1" w:name="_GoBack"/>
      <w:bookmarkEnd w:id="1"/>
      <w:r>
        <w:rPr>
          <w:rFonts w:hint="eastAsia" w:asciiTheme="minorEastAsia" w:hAnsiTheme="minorEastAsia" w:eastAsiaTheme="minorEastAsia"/>
          <w:sz w:val="21"/>
          <w:szCs w:val="21"/>
        </w:rPr>
        <w:t>，现做如下承诺：</w:t>
      </w:r>
    </w:p>
    <w:p>
      <w:pPr>
        <w:spacing w:line="336"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1、我方已认真阅读、知悉并自愿遵守《房屋出租交易规则》、《在线报价实施办法》和《杭州产权交易所在线报价交易须知》等文件的规定，同意按照相关规定参加本项目竞价活动。</w:t>
      </w:r>
    </w:p>
    <w:p>
      <w:pPr>
        <w:spacing w:line="336"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3、若我方成为承租方，我方已知悉并同意：同意在被确定为承租方之日起3个工作日携带报名时上传的主体资格证明等相关文件原件至杭交所完成现场确认和签署《成交通知书》、《房屋租赁合同》等相关合同文件；并在《成交通知书》、《房屋租赁合同》及相关合同文件签署之日起5个工作日内向杭交所指定账户一次性支付首期租金、履约保证金和交易服务费等交易资金（以到账时间为准）。</w:t>
      </w:r>
    </w:p>
    <w:p>
      <w:pPr>
        <w:spacing w:line="336"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4、若我方成为承租方，我方已知悉并同意：同意经出租方申请之日起3个工作日内将承租方已交纳的首期租金、履约保证金全部划转至出租方指定账户。</w:t>
      </w:r>
    </w:p>
    <w:p>
      <w:pPr>
        <w:spacing w:line="336" w:lineRule="auto"/>
        <w:ind w:firstLine="420" w:firstLineChars="200"/>
        <w:rPr>
          <w:rFonts w:hint="eastAsia" w:ascii="宋体" w:hAnsi="宋体"/>
          <w:sz w:val="21"/>
          <w:szCs w:val="21"/>
          <w:highlight w:val="none"/>
        </w:rPr>
      </w:pPr>
      <w:r>
        <w:rPr>
          <w:rFonts w:asciiTheme="minorEastAsia" w:hAnsiTheme="minorEastAsia" w:eastAsiaTheme="minorEastAsia"/>
          <w:sz w:val="21"/>
          <w:szCs w:val="21"/>
        </w:rPr>
        <w:t>5</w:t>
      </w:r>
      <w:r>
        <w:rPr>
          <w:rFonts w:hint="eastAsia" w:asciiTheme="minorEastAsia" w:hAnsiTheme="minorEastAsia" w:eastAsiaTheme="minorEastAsia"/>
          <w:sz w:val="21"/>
          <w:szCs w:val="21"/>
        </w:rPr>
        <w:t>、若我方成为承租方，我方已知悉并同意：</w:t>
      </w:r>
      <w:bookmarkStart w:id="0" w:name="_Hlk102652379"/>
      <w:r>
        <w:rPr>
          <w:rFonts w:hint="eastAsia" w:ascii="宋体" w:hAnsi="宋体" w:eastAsia="宋体" w:cs="Times New Roman"/>
          <w:sz w:val="20"/>
          <w:highlight w:val="none"/>
        </w:rPr>
        <w:t>出租方保证租赁房屋产权无争议，且拥有无可争议的处分权。承租方办理承租申请手续即视为已明确知悉并接受土地用途、房屋的规划用途、产权情况、性质等。</w:t>
      </w:r>
      <w:bookmarkEnd w:id="0"/>
    </w:p>
    <w:p>
      <w:pPr>
        <w:spacing w:line="336" w:lineRule="auto"/>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6</w:t>
      </w:r>
      <w:r>
        <w:rPr>
          <w:rFonts w:hint="eastAsia" w:asciiTheme="minorEastAsia" w:hAnsiTheme="minorEastAsia" w:eastAsiaTheme="minorEastAsia"/>
          <w:sz w:val="21"/>
          <w:szCs w:val="21"/>
        </w:rPr>
        <w:t>、若我方成为承租方，我方已知悉并同意：租赁期内，未经出租方书面同意不得对所租赁的物业进行转租如承租方需要将部分建筑面积分租给第三方，须经得到出租方书面的许可。未经出租方事先书面许可，承租方实施分租租赁场所或许可任何第三人使用租赁场所等上述行为时，自该行为做出之日起至该行为终止之日止，每一日应向出租方支付转租租金差额或分租租金差额，并加付按转租年租金或分租年租金的0.1%作为每日违约金（出租方也可选择按承租方应缴纳年租金的0.1%作为每日违约金）。如承租方擅自转租超过15日未改正的，出租方除可依上述约定收取违约金外,还有权解除《房屋租赁合同》并立即收回房屋，同时没收履约保证金。</w:t>
      </w:r>
    </w:p>
    <w:p>
      <w:pPr>
        <w:spacing w:line="336" w:lineRule="auto"/>
        <w:ind w:firstLine="420" w:firstLineChars="200"/>
        <w:rPr>
          <w:rFonts w:hint="eastAsia" w:asciiTheme="minorEastAsia" w:hAnsiTheme="minorEastAsia" w:eastAsiaTheme="minorEastAsia"/>
          <w:sz w:val="21"/>
          <w:szCs w:val="21"/>
        </w:rPr>
      </w:pPr>
      <w:r>
        <w:rPr>
          <w:rFonts w:asciiTheme="minorEastAsia" w:hAnsiTheme="minorEastAsia" w:eastAsiaTheme="minorEastAsia"/>
          <w:sz w:val="21"/>
          <w:szCs w:val="21"/>
        </w:rPr>
        <w:t>7</w:t>
      </w:r>
      <w:r>
        <w:rPr>
          <w:rFonts w:hint="eastAsia" w:asciiTheme="minorEastAsia" w:hAnsiTheme="minorEastAsia" w:eastAsiaTheme="minorEastAsia"/>
          <w:sz w:val="21"/>
          <w:szCs w:val="21"/>
        </w:rPr>
        <w:t>、若我方成为承租方，我方已知悉并同意：</w:t>
      </w:r>
      <w:r>
        <w:rPr>
          <w:rFonts w:hint="eastAsia" w:ascii="宋体" w:hAnsi="宋体" w:eastAsia="宋体" w:cs="Times New Roman"/>
          <w:sz w:val="20"/>
          <w:highlight w:val="none"/>
          <w:lang w:val="en-US" w:eastAsia="zh-CN"/>
        </w:rPr>
        <w:t>承租方不得擅自改变房屋的用途。</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8、</w:t>
      </w:r>
      <w:r>
        <w:rPr>
          <w:rFonts w:hint="eastAsia" w:asciiTheme="minorEastAsia" w:hAnsiTheme="minorEastAsia" w:eastAsiaTheme="minorEastAsia"/>
          <w:sz w:val="21"/>
          <w:szCs w:val="21"/>
        </w:rPr>
        <w:t>若我方成为承租方，我方已知悉并同意：</w:t>
      </w:r>
      <w:r>
        <w:rPr>
          <w:rFonts w:hint="eastAsia" w:ascii="宋体" w:hAnsi="宋体" w:eastAsia="宋体" w:cs="Times New Roman"/>
          <w:sz w:val="20"/>
          <w:highlight w:val="none"/>
        </w:rPr>
        <w:t>承租方与出租方的权利和义务，以出租方提供的《房屋租赁合同》（样本）为准。</w:t>
      </w:r>
    </w:p>
    <w:p>
      <w:pPr>
        <w:spacing w:line="336" w:lineRule="auto"/>
        <w:ind w:firstLine="420" w:firstLineChars="200"/>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9</w:t>
      </w: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本项目成交后，若我方成为承租方，</w:t>
      </w:r>
      <w:r>
        <w:rPr>
          <w:rFonts w:hint="eastAsia" w:asciiTheme="minorEastAsia" w:hAnsiTheme="minorEastAsia" w:eastAsiaTheme="minorEastAsia"/>
          <w:sz w:val="21"/>
          <w:szCs w:val="21"/>
        </w:rPr>
        <w:t>我方同意</w:t>
      </w:r>
      <w:r>
        <w:rPr>
          <w:rFonts w:hint="eastAsia" w:asciiTheme="minorEastAsia" w:hAnsiTheme="minorEastAsia" w:eastAsiaTheme="minorEastAsia"/>
          <w:sz w:val="21"/>
          <w:szCs w:val="21"/>
          <w:lang w:val="en-US" w:eastAsia="zh-CN"/>
        </w:rPr>
        <w:t>按以下标准向杭交所支付交易服务费：</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（1）各年累计租金在800万元以下，按照各年累计租金的2%收取</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（2）各年累计租金在800万元以上的，按照各年累计租金的1.5%收取。</w:t>
      </w:r>
    </w:p>
    <w:p>
      <w:pPr>
        <w:spacing w:line="336" w:lineRule="auto"/>
        <w:ind w:firstLine="400" w:firstLineChars="200"/>
        <w:rPr>
          <w:rFonts w:hint="eastAsia" w:asciiTheme="minorEastAsia" w:hAnsiTheme="minorEastAsia" w:eastAsiaTheme="minorEastAsia"/>
          <w:sz w:val="21"/>
          <w:szCs w:val="21"/>
        </w:rPr>
      </w:pPr>
      <w:r>
        <w:rPr>
          <w:rFonts w:hint="eastAsia" w:ascii="宋体" w:hAnsi="宋体"/>
          <w:sz w:val="20"/>
          <w:highlight w:val="none"/>
        </w:rPr>
        <w:t>如仅一位意向承租方报名且成交的，可按以上收费标准减半收取。</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10</w:t>
      </w:r>
      <w:r>
        <w:rPr>
          <w:rFonts w:hint="eastAsia" w:asciiTheme="minorEastAsia" w:hAnsiTheme="minorEastAsia" w:eastAsiaTheme="minorEastAsia"/>
          <w:sz w:val="21"/>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（1）意向承租方提交承租申请材料并交纳交易保证金后单方撤回承租申请的；</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（2）产生符合条件的意向承租方后，各意向承租方在竞价期间均不报价的；</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（3）在被确定为承租方后未按约定签署《房屋租赁合同》的或未按约定支付交易服务费、履约保证金和首期租金的；</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（4）意向承租方未履行书面承诺事项的；</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（5）存在其他违反交易规则情形的。</w:t>
      </w:r>
    </w:p>
    <w:p>
      <w:pPr>
        <w:spacing w:line="336"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意向承租方（签章）：</w:t>
      </w:r>
    </w:p>
    <w:p>
      <w:pPr>
        <w:spacing w:line="336"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35A5675"/>
    <w:rsid w:val="061C73F5"/>
    <w:rsid w:val="07D87335"/>
    <w:rsid w:val="08F950D3"/>
    <w:rsid w:val="0A25564B"/>
    <w:rsid w:val="0AA1739C"/>
    <w:rsid w:val="0CBC71E7"/>
    <w:rsid w:val="0ED418D7"/>
    <w:rsid w:val="0FEC78F6"/>
    <w:rsid w:val="117612B0"/>
    <w:rsid w:val="13B849C4"/>
    <w:rsid w:val="14C2507C"/>
    <w:rsid w:val="16BD1BA6"/>
    <w:rsid w:val="174D738C"/>
    <w:rsid w:val="19B122C7"/>
    <w:rsid w:val="19B324A8"/>
    <w:rsid w:val="19CF393C"/>
    <w:rsid w:val="1BBB70AD"/>
    <w:rsid w:val="1D297698"/>
    <w:rsid w:val="1E14735D"/>
    <w:rsid w:val="1EFA488D"/>
    <w:rsid w:val="1F072A94"/>
    <w:rsid w:val="1F843BB4"/>
    <w:rsid w:val="1FB34EAE"/>
    <w:rsid w:val="1FE75D9F"/>
    <w:rsid w:val="208A7B37"/>
    <w:rsid w:val="20C11717"/>
    <w:rsid w:val="25526291"/>
    <w:rsid w:val="25B34C3E"/>
    <w:rsid w:val="26FD132D"/>
    <w:rsid w:val="2731534B"/>
    <w:rsid w:val="279515A0"/>
    <w:rsid w:val="28CD421D"/>
    <w:rsid w:val="29064147"/>
    <w:rsid w:val="2A5A70D8"/>
    <w:rsid w:val="2B224A23"/>
    <w:rsid w:val="2BD51F6B"/>
    <w:rsid w:val="2DE64B98"/>
    <w:rsid w:val="2E6953D9"/>
    <w:rsid w:val="31652E34"/>
    <w:rsid w:val="332613DB"/>
    <w:rsid w:val="33E270AC"/>
    <w:rsid w:val="3480309A"/>
    <w:rsid w:val="35202E1B"/>
    <w:rsid w:val="37146FE4"/>
    <w:rsid w:val="382052E5"/>
    <w:rsid w:val="3AD83A40"/>
    <w:rsid w:val="3C2C4C6F"/>
    <w:rsid w:val="3C5A318A"/>
    <w:rsid w:val="3C940D63"/>
    <w:rsid w:val="3D4E2474"/>
    <w:rsid w:val="3E200EA0"/>
    <w:rsid w:val="3EBF19DA"/>
    <w:rsid w:val="3F403481"/>
    <w:rsid w:val="45F94112"/>
    <w:rsid w:val="47D05F0F"/>
    <w:rsid w:val="494F753A"/>
    <w:rsid w:val="4AFF3DA7"/>
    <w:rsid w:val="4CC66179"/>
    <w:rsid w:val="4E0013D2"/>
    <w:rsid w:val="4F194285"/>
    <w:rsid w:val="51317EBA"/>
    <w:rsid w:val="52C93621"/>
    <w:rsid w:val="54E742B4"/>
    <w:rsid w:val="563F5F26"/>
    <w:rsid w:val="56EE2F1F"/>
    <w:rsid w:val="584668FF"/>
    <w:rsid w:val="590122F3"/>
    <w:rsid w:val="5A0A51C8"/>
    <w:rsid w:val="5DB959AE"/>
    <w:rsid w:val="5E0F1804"/>
    <w:rsid w:val="605F317E"/>
    <w:rsid w:val="606A72C7"/>
    <w:rsid w:val="633A51EB"/>
    <w:rsid w:val="657C12B1"/>
    <w:rsid w:val="66AB1603"/>
    <w:rsid w:val="66F30663"/>
    <w:rsid w:val="68026233"/>
    <w:rsid w:val="6804343D"/>
    <w:rsid w:val="6810612A"/>
    <w:rsid w:val="6A2F474B"/>
    <w:rsid w:val="6D1B0EA5"/>
    <w:rsid w:val="6D511A93"/>
    <w:rsid w:val="6F3E2F3A"/>
    <w:rsid w:val="70F4545C"/>
    <w:rsid w:val="71711121"/>
    <w:rsid w:val="71814B45"/>
    <w:rsid w:val="71933AE8"/>
    <w:rsid w:val="736C7394"/>
    <w:rsid w:val="73B45BA4"/>
    <w:rsid w:val="78A15C46"/>
    <w:rsid w:val="7BD668C0"/>
    <w:rsid w:val="7CC76B89"/>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5"/>
    <w:unhideWhenUsed/>
    <w:qFormat/>
    <w:uiPriority w:val="99"/>
    <w:pPr>
      <w:tabs>
        <w:tab w:val="center" w:pos="4153"/>
        <w:tab w:val="right" w:pos="8306"/>
      </w:tabs>
      <w:snapToGrid w:val="0"/>
      <w:jc w:val="left"/>
    </w:pPr>
    <w:rPr>
      <w:sz w:val="18"/>
      <w:szCs w:val="18"/>
    </w:rPr>
  </w:style>
  <w:style w:type="paragraph" w:styleId="3">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7">
    <w:name w:val="Strong"/>
    <w:basedOn w:val="6"/>
    <w:qFormat/>
    <w:uiPriority w:val="22"/>
    <w:rPr>
      <w:b/>
    </w:rPr>
  </w:style>
  <w:style w:type="character" w:styleId="8">
    <w:name w:val="FollowedHyperlink"/>
    <w:basedOn w:val="6"/>
    <w:semiHidden/>
    <w:unhideWhenUsed/>
    <w:qFormat/>
    <w:uiPriority w:val="99"/>
    <w:rPr>
      <w:color w:val="57BBE9"/>
      <w:u w:val="none"/>
    </w:rPr>
  </w:style>
  <w:style w:type="character" w:styleId="9">
    <w:name w:val="HTML Definition"/>
    <w:basedOn w:val="6"/>
    <w:semiHidden/>
    <w:unhideWhenUsed/>
    <w:qFormat/>
    <w:uiPriority w:val="99"/>
    <w:rPr>
      <w:i/>
    </w:rPr>
  </w:style>
  <w:style w:type="character" w:styleId="10">
    <w:name w:val="Hyperlink"/>
    <w:basedOn w:val="6"/>
    <w:semiHidden/>
    <w:unhideWhenUsed/>
    <w:qFormat/>
    <w:uiPriority w:val="99"/>
    <w:rPr>
      <w:color w:val="57BBE9"/>
      <w:u w:val="none"/>
    </w:rPr>
  </w:style>
  <w:style w:type="character" w:styleId="11">
    <w:name w:val="HTML Code"/>
    <w:basedOn w:val="6"/>
    <w:semiHidden/>
    <w:unhideWhenUsed/>
    <w:qFormat/>
    <w:uiPriority w:val="99"/>
    <w:rPr>
      <w:rFonts w:hint="default" w:ascii="monospace" w:hAnsi="monospace" w:eastAsia="monospace" w:cs="monospace"/>
      <w:sz w:val="21"/>
      <w:szCs w:val="21"/>
    </w:rPr>
  </w:style>
  <w:style w:type="character" w:styleId="12">
    <w:name w:val="HTML Keyboard"/>
    <w:basedOn w:val="6"/>
    <w:semiHidden/>
    <w:unhideWhenUsed/>
    <w:qFormat/>
    <w:uiPriority w:val="99"/>
    <w:rPr>
      <w:rFonts w:ascii="monospace" w:hAnsi="monospace" w:eastAsia="monospace" w:cs="monospace"/>
      <w:sz w:val="21"/>
      <w:szCs w:val="21"/>
    </w:rPr>
  </w:style>
  <w:style w:type="character" w:styleId="13">
    <w:name w:val="HTML Sample"/>
    <w:basedOn w:val="6"/>
    <w:semiHidden/>
    <w:unhideWhenUsed/>
    <w:qFormat/>
    <w:uiPriority w:val="99"/>
    <w:rPr>
      <w:rFonts w:hint="default" w:ascii="monospace" w:hAnsi="monospace" w:eastAsia="monospace" w:cs="monospace"/>
      <w:sz w:val="21"/>
      <w:szCs w:val="21"/>
    </w:rPr>
  </w:style>
  <w:style w:type="character" w:customStyle="1" w:styleId="14">
    <w:name w:val="页眉 字符"/>
    <w:basedOn w:val="6"/>
    <w:link w:val="3"/>
    <w:qFormat/>
    <w:uiPriority w:val="99"/>
    <w:rPr>
      <w:rFonts w:ascii="Times New Roman" w:hAnsi="Times New Roman" w:eastAsia="宋体" w:cs="Times New Roman"/>
      <w:sz w:val="18"/>
      <w:szCs w:val="18"/>
    </w:rPr>
  </w:style>
  <w:style w:type="character" w:customStyle="1" w:styleId="15">
    <w:name w:val="页脚 字符"/>
    <w:basedOn w:val="6"/>
    <w:link w:val="2"/>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character" w:customStyle="1" w:styleId="17">
    <w:name w:val="not([class*=suffix])"/>
    <w:basedOn w:val="6"/>
    <w:qFormat/>
    <w:uiPriority w:val="0"/>
    <w:rPr>
      <w:sz w:val="19"/>
      <w:szCs w:val="19"/>
    </w:rPr>
  </w:style>
  <w:style w:type="character" w:customStyle="1" w:styleId="18">
    <w:name w:val="not([class*=suffix])1"/>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0</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2025-07-02T05:53:20Z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