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杭州市上城区新和嘉苑底商40号一层房屋4年租赁权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2025-06-25T11:14:18Z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