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杭州市上城区新风丽都北苑底商67号房屋4年租赁权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4DD4E6C"/>
    <w:rsid w:val="457753E3"/>
    <w:rsid w:val="45F94112"/>
    <w:rsid w:val="48901D9C"/>
    <w:rsid w:val="494F753A"/>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DB959AE"/>
    <w:rsid w:val="5DFC0291"/>
    <w:rsid w:val="5E0F1804"/>
    <w:rsid w:val="605F317E"/>
    <w:rsid w:val="606A72C7"/>
    <w:rsid w:val="633A51EB"/>
    <w:rsid w:val="651B5588"/>
    <w:rsid w:val="657C12B1"/>
    <w:rsid w:val="66AB1603"/>
    <w:rsid w:val="66F30663"/>
    <w:rsid w:val="68026233"/>
    <w:rsid w:val="6804343D"/>
    <w:rsid w:val="68FE0BB2"/>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2025-06-25T11:12:31Z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