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茅台等一批酒及一副字画（4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5、我方同意标的物为罚没资产，转让方无法提供原购买凭证或其他任何形式的证明文件，不承担关于商品真伪的任何担保责任，我方应自行判断并承担因商品真伪问题带来的所有风险。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本次交易不对因瓶体内外包装发生的任何破损及霉变、液体渗漏、酒标磨损、酒精挥发、瓶身有污垢、砂眼等其他任何原因导致的商品价值损失承担责任，转让方不对可能影响字画价值、外观或功能的缺陷以及字画物理上的损坏、修复痕迹、褪色、材料老化等以及非物理上的问题，如真伪争议、版权问题等承担任何担保责任。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2FE3FFF"/>
    <w:rsid w:val="173E5800"/>
    <w:rsid w:val="211019BE"/>
    <w:rsid w:val="21B917A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7B1D1F"/>
    <w:rsid w:val="6256136A"/>
    <w:rsid w:val="63C12C87"/>
    <w:rsid w:val="64FD58B4"/>
    <w:rsid w:val="65D17423"/>
    <w:rsid w:val="67610F1F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2025-06-19T02:04:01Z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649592362C404583A494BEF84DAE5560</vt:lpwstr>
  </property>
</Properties>
</file>