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茅台、五粮液等一批酒（1）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转让方无法提供原购买凭证或其他任何形式的证明文件，不承担关于商品真伪的任何担保责任，我方应自行判断并承担因商品真伪问题带来的所有风险。本次交易不对因瓶体内外包装发生的任何破损及霉变、液体渗漏、酒标磨损、酒精挥发、瓶身有污垢、砂眼等其他任何原因导致的商品价值损失承担责任，成交后，我方不得以任何理由（包括但不限于上述提到的瑕疵）要求退换货或赔偿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2FE3FFF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2025-06-19T01:42:39Z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EE8524CBD22C444FA2206ED4F3364964</vt:lpwstr>
  </property>
</Properties>
</file>