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杭州市余杭区仁和车辆段材料棚房屋3年租赁权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cstheme="minorEastAsia"/>
          <w:sz w:val="21"/>
          <w:szCs w:val="21"/>
          <w:highlight w:val="none"/>
          <w:u w:val="none"/>
        </w:rPr>
        <w:t>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ascii="宋体" w:hAnsi="宋体"/>
          <w:color w:val="auto"/>
          <w:szCs w:val="21"/>
          <w:highlight w:val="none"/>
        </w:rPr>
        <w:t>同意在被确定为承租方之日起3个工作日内，携带</w:t>
      </w:r>
      <w:r>
        <w:rPr>
          <w:rFonts w:hint="eastAsia" w:ascii="宋体" w:hAnsi="宋体"/>
          <w:color w:val="auto"/>
          <w:szCs w:val="21"/>
          <w:highlight w:val="none"/>
        </w:rPr>
        <w:t>报名时上传的主体资格证明等相关文件</w:t>
      </w:r>
      <w:bookmarkStart w:id="0" w:name="_GoBack"/>
      <w:bookmarkEnd w:id="0"/>
      <w:r>
        <w:rPr>
          <w:rFonts w:hint="eastAsia" w:ascii="宋体" w:hAnsi="宋体"/>
          <w:color w:val="auto"/>
          <w:szCs w:val="21"/>
          <w:highlight w:val="none"/>
        </w:rPr>
        <w:t>原件</w:t>
      </w:r>
      <w:r>
        <w:rPr>
          <w:rFonts w:ascii="宋体" w:hAnsi="宋体"/>
          <w:color w:val="auto"/>
          <w:szCs w:val="21"/>
          <w:highlight w:val="none"/>
        </w:rPr>
        <w:t>到杭交所完成现场确认并签署</w:t>
      </w:r>
      <w:r>
        <w:rPr>
          <w:rFonts w:hint="eastAsia" w:ascii="宋体" w:hAnsi="宋体"/>
          <w:color w:val="auto"/>
          <w:szCs w:val="21"/>
          <w:highlight w:val="none"/>
        </w:rPr>
        <w:t>《成交通知书》、《杭州地铁运营有限公司仁和车辆段材料棚房屋租赁合同》（以下简称“租赁合同”）、交易记录及相关合同文件</w:t>
      </w:r>
      <w:r>
        <w:rPr>
          <w:rFonts w:ascii="宋体" w:hAnsi="宋体"/>
          <w:color w:val="auto"/>
          <w:szCs w:val="21"/>
          <w:highlight w:val="none"/>
        </w:rPr>
        <w:t>；并在</w:t>
      </w:r>
      <w:r>
        <w:rPr>
          <w:rFonts w:hint="eastAsia" w:ascii="宋体" w:hAnsi="宋体"/>
          <w:color w:val="auto"/>
          <w:szCs w:val="21"/>
          <w:highlight w:val="none"/>
        </w:rPr>
        <w:t>租赁合同</w:t>
      </w:r>
      <w:r>
        <w:rPr>
          <w:rFonts w:ascii="宋体" w:hAnsi="宋体"/>
          <w:color w:val="auto"/>
          <w:szCs w:val="21"/>
          <w:highlight w:val="none"/>
        </w:rPr>
        <w:t>签署之日起5个工作日内向杭交所指定账户一次性支付交易服务费、履约保证金</w:t>
      </w:r>
      <w:r>
        <w:rPr>
          <w:rFonts w:hint="eastAsia" w:ascii="宋体" w:hAnsi="宋体"/>
          <w:color w:val="auto"/>
          <w:szCs w:val="21"/>
          <w:highlight w:val="none"/>
        </w:rPr>
        <w:t>和首期</w:t>
      </w:r>
      <w:r>
        <w:rPr>
          <w:rFonts w:ascii="宋体" w:hAnsi="宋体"/>
          <w:color w:val="auto"/>
          <w:szCs w:val="21"/>
          <w:highlight w:val="none"/>
        </w:rPr>
        <w:t>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color w:val="auto"/>
          <w:szCs w:val="21"/>
          <w:highlight w:val="none"/>
        </w:rPr>
        <w:t>租赁房屋所属地块不动产权证证载权利性质为划拨/自建房，证载用途为交通用地/非住宅，附记记载：实际批准用途为轨道交通线路用地，归类于交通用地。出租方保证租赁房屋权属无争议，出租方提供项目所属地块不动产权证作为本次租赁房屋的权属证明。承租方不得在租赁房屋内进行非法经营活动。</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color w:val="auto"/>
          <w:szCs w:val="21"/>
          <w:highlight w:val="none"/>
        </w:rPr>
        <w:t>承租方在租赁房屋后，应按规定的用途使用房屋，未按规定经相关行政主管部门核准的，承租方不得将租赁房屋用于其他用途。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电费收费标准为含税每度电单价按《国网浙江省电力有限公司代理购电工商业用户电价表》中单一制一般工商业用电35千伏及以上电度用电价格顺加10%；水费收费标准为不含税每立方米水人民币4.4元/立方米。水电费按半年（租赁年度）结算，半年结束后的15个工作日内一次性支付。垃圾清运费、保洁费、保安服务费由承租方自行承担。</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设施设备的启用、维修、保养、年检、更新均由承租方按照出租方规程实施，费用由承租方自行承担。维修过程中更换下来的部件（含零部件、损耗件等）、材料等需归还出租方。</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若我方成为承租方，我方已知悉并同意：承租方未经出租方书面同意不得对外转租。</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、若我方成为承租方，我方已知悉并同意：本次租赁权公开交易出租方与承租方的权利和义务以出租方提供的租赁合同（样本）为准。</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成交后，若我方成为承租方，</w:t>
      </w:r>
      <w:r>
        <w:rPr>
          <w:rFonts w:hint="eastAsia" w:asciiTheme="minorEastAsia" w:hAnsiTheme="minorEastAsia" w:eastAsiaTheme="minorEastAsia"/>
          <w:szCs w:val="21"/>
        </w:rPr>
        <w:t>我方同意按以下标准向杭交所支付交易服务费</w:t>
      </w:r>
      <w:r>
        <w:rPr>
          <w:rFonts w:hint="eastAsia" w:asciiTheme="minorEastAsia" w:hAnsiTheme="minorEastAsia" w:eastAsiaTheme="minorEastAsia"/>
          <w:szCs w:val="21"/>
          <w:lang w:eastAsia="zh-CN"/>
        </w:rPr>
        <w:t>：</w:t>
      </w:r>
    </w:p>
    <w:p>
      <w:pPr>
        <w:ind w:firstLine="420" w:firstLineChars="200"/>
        <w:rPr>
          <w:rFonts w:ascii="宋体" w:hAnsi="宋体"/>
          <w:color w:val="auto"/>
          <w:szCs w:val="21"/>
          <w:highlight w:val="none"/>
        </w:rPr>
      </w:pPr>
      <w:r>
        <w:rPr>
          <w:rFonts w:hint="eastAsia" w:ascii="宋体" w:hAnsi="宋体"/>
          <w:color w:val="auto"/>
          <w:szCs w:val="21"/>
          <w:highlight w:val="none"/>
        </w:rPr>
        <w:t>（1）各年累计租金在800万元以下，按照各年累计租金的2%收取；</w:t>
      </w:r>
    </w:p>
    <w:p>
      <w:pPr>
        <w:spacing w:line="336"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（2）各年累计租金在800万元以上的，按照各年累计租金的1.5%收取。</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bCs/>
          <w:szCs w:val="21"/>
          <w:lang w:eastAsia="zh-CN"/>
        </w:rPr>
        <w:t>《</w:t>
      </w:r>
      <w:r>
        <w:rPr>
          <w:rFonts w:hint="eastAsia" w:ascii="宋体" w:hAnsi="宋体"/>
          <w:bCs/>
          <w:szCs w:val="21"/>
          <w:lang w:val="en-US" w:eastAsia="zh-CN"/>
        </w:rPr>
        <w:t>成交通知书</w:t>
      </w:r>
      <w:r>
        <w:rPr>
          <w:rFonts w:hint="eastAsia" w:ascii="宋体" w:hAnsi="宋体"/>
          <w:bCs/>
          <w:szCs w:val="21"/>
          <w:lang w:eastAsia="zh-CN"/>
        </w:rPr>
        <w:t>》、</w:t>
      </w:r>
      <w:r>
        <w:rPr>
          <w:rFonts w:hint="eastAsia" w:ascii="宋体" w:hAnsi="宋体"/>
          <w:bCs/>
          <w:szCs w:val="21"/>
        </w:rPr>
        <w:t>租赁合同</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第%1条"/>
      <w:lvlJc w:val="left"/>
      <w:pPr>
        <w:tabs>
          <w:tab w:val="left" w:pos="0"/>
        </w:tabs>
        <w:ind w:left="425" w:hanging="425"/>
      </w:pPr>
      <w:rPr>
        <w:rFonts w:hint="eastAsia" w:cs="Times New Roman"/>
        <w:b/>
        <w:bCs w:val="0"/>
        <w:i w:val="0"/>
        <w:iCs w:val="0"/>
        <w:caps w:val="0"/>
        <w:smallCaps w:val="0"/>
        <w:strike w:val="0"/>
        <w:dstrike w:val="0"/>
        <w:vanish w:val="0"/>
        <w:spacing w:val="0"/>
        <w:position w:val="0"/>
        <w:u w:val="none"/>
        <w:vertAlign w:val="baseline"/>
      </w:rPr>
    </w:lvl>
    <w:lvl w:ilvl="1" w:tentative="0">
      <w:start w:val="1"/>
      <w:numFmt w:val="decimal"/>
      <w:pStyle w:val="3"/>
      <w:lvlText w:val="%1.%2"/>
      <w:lvlJc w:val="left"/>
      <w:pPr>
        <w:tabs>
          <w:tab w:val="left" w:pos="-142"/>
        </w:tabs>
        <w:ind w:left="850" w:hanging="567"/>
      </w:pPr>
      <w:rPr>
        <w:rFonts w:hint="default" w:ascii="Times New Roman" w:hAnsi="Times New Roman"/>
      </w:rPr>
    </w:lvl>
    <w:lvl w:ilvl="2" w:tentative="0">
      <w:start w:val="1"/>
      <w:numFmt w:val="decimal"/>
      <w:lvlText w:val="%1.%2.%3"/>
      <w:lvlJc w:val="left"/>
      <w:pPr>
        <w:tabs>
          <w:tab w:val="left" w:pos="1134"/>
        </w:tabs>
        <w:ind w:left="1418" w:hanging="567"/>
      </w:pPr>
      <w:rPr>
        <w:rFonts w:hint="default" w:ascii="Times New Roman" w:hAnsi="Times New Roman"/>
        <w:b w:val="0"/>
        <w:bCs w:val="0"/>
        <w:i w:val="0"/>
        <w:iCs w:val="0"/>
        <w:caps w:val="0"/>
        <w:smallCaps w:val="0"/>
        <w:strike w:val="0"/>
        <w:dstrike w:val="0"/>
        <w:spacing w:val="0"/>
        <w:position w:val="0"/>
        <w:u w:val="none"/>
      </w:rPr>
    </w:lvl>
    <w:lvl w:ilvl="3" w:tentative="0">
      <w:start w:val="1"/>
      <w:numFmt w:val="decimal"/>
      <w:lvlText w:val="%1.%2.%3.%4"/>
      <w:lvlJc w:val="left"/>
      <w:pPr>
        <w:tabs>
          <w:tab w:val="left" w:pos="1701"/>
        </w:tabs>
        <w:ind w:left="2098" w:hanging="851"/>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58056FE"/>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1E321F8"/>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9903D7"/>
    <w:rsid w:val="3EBF19DA"/>
    <w:rsid w:val="3F403481"/>
    <w:rsid w:val="45F94112"/>
    <w:rsid w:val="494F753A"/>
    <w:rsid w:val="4A4713FE"/>
    <w:rsid w:val="4AFF3DA7"/>
    <w:rsid w:val="4C911D38"/>
    <w:rsid w:val="4CC66179"/>
    <w:rsid w:val="4E0013D2"/>
    <w:rsid w:val="50465A22"/>
    <w:rsid w:val="51317EBA"/>
    <w:rsid w:val="52C93621"/>
    <w:rsid w:val="54E742B4"/>
    <w:rsid w:val="55F6694A"/>
    <w:rsid w:val="563F5F26"/>
    <w:rsid w:val="5687200B"/>
    <w:rsid w:val="56EE2F1F"/>
    <w:rsid w:val="584668FF"/>
    <w:rsid w:val="590122F3"/>
    <w:rsid w:val="5A0A51C8"/>
    <w:rsid w:val="5DB959AE"/>
    <w:rsid w:val="5E0F1804"/>
    <w:rsid w:val="5E7438BB"/>
    <w:rsid w:val="605F317E"/>
    <w:rsid w:val="606A72C7"/>
    <w:rsid w:val="633A51EB"/>
    <w:rsid w:val="657C12B1"/>
    <w:rsid w:val="66AB1603"/>
    <w:rsid w:val="66F30663"/>
    <w:rsid w:val="68026233"/>
    <w:rsid w:val="6804343D"/>
    <w:rsid w:val="6A2F474B"/>
    <w:rsid w:val="6D1B0EA5"/>
    <w:rsid w:val="6D511A93"/>
    <w:rsid w:val="6F3E2F3A"/>
    <w:rsid w:val="6FA55374"/>
    <w:rsid w:val="71711121"/>
    <w:rsid w:val="71814B45"/>
    <w:rsid w:val="71863B6E"/>
    <w:rsid w:val="71933AE8"/>
    <w:rsid w:val="736C7394"/>
    <w:rsid w:val="73B45BA4"/>
    <w:rsid w:val="78A15C46"/>
    <w:rsid w:val="7D1C592E"/>
    <w:rsid w:val="7FF8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numPr>
        <w:ilvl w:val="1"/>
        <w:numId w:val="1"/>
      </w:numPr>
      <w:tabs>
        <w:tab w:val="left" w:pos="0"/>
        <w:tab w:val="left" w:pos="1134"/>
      </w:tabs>
      <w:outlineLvl w:val="2"/>
    </w:pPr>
    <w:rPr>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2025-06-17T05:36:47Z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