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rPr>
      </w:pPr>
      <w:r>
        <w:rPr>
          <w:rFonts w:hint="eastAsia" w:ascii="黑体" w:hAnsi="黑体" w:eastAsia="黑体"/>
          <w:b/>
          <w:sz w:val="36"/>
          <w:szCs w:val="36"/>
          <w:lang w:val="en-US" w:eastAsia="zh-CN"/>
        </w:rPr>
        <w:t xml:space="preserve"> </w:t>
      </w:r>
      <w:r>
        <w:rPr>
          <w:rFonts w:hint="eastAsia" w:ascii="黑体" w:hAnsi="黑体" w:eastAsia="黑体"/>
          <w:b/>
          <w:sz w:val="36"/>
          <w:szCs w:val="36"/>
        </w:rPr>
        <w:t>承诺函</w:t>
      </w:r>
    </w:p>
    <w:p>
      <w:pPr>
        <w:spacing w:line="360" w:lineRule="auto"/>
        <w:rPr>
          <w:rFonts w:hint="eastAsia" w:asciiTheme="minorEastAsia" w:hAnsiTheme="minorEastAsia" w:eastAsiaTheme="minorEastAsia"/>
          <w:szCs w:val="21"/>
        </w:rPr>
      </w:pP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杭州</w:t>
      </w:r>
      <w:r>
        <w:rPr>
          <w:rFonts w:asciiTheme="minorEastAsia" w:hAnsiTheme="minorEastAsia" w:eastAsiaTheme="minorEastAsia"/>
          <w:szCs w:val="21"/>
        </w:rPr>
        <w:t>产权交易所</w:t>
      </w:r>
      <w:r>
        <w:rPr>
          <w:rFonts w:hint="eastAsia" w:asciiTheme="minorEastAsia" w:hAnsiTheme="minorEastAsia" w:eastAsiaTheme="minorEastAsia"/>
          <w:szCs w:val="21"/>
        </w:rPr>
        <w:t>有限责任公司</w:t>
      </w:r>
      <w:r>
        <w:rPr>
          <w:rFonts w:asciiTheme="minorEastAsia" w:hAnsiTheme="minorEastAsia" w:eastAsiaTheme="minorEastAsia"/>
          <w:szCs w:val="21"/>
        </w:rPr>
        <w:t>：</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lang w:val="en-US" w:eastAsia="zh-CN"/>
        </w:rPr>
        <w:t>杭州企业产权交易中心有限公司</w:t>
      </w:r>
      <w:r>
        <w:rPr>
          <w:rFonts w:hint="eastAsia" w:asciiTheme="minorEastAsia" w:hAnsiTheme="minorEastAsia" w:eastAsiaTheme="minorEastAsia"/>
          <w:szCs w:val="21"/>
        </w:rPr>
        <w:t>：</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我方拟</w:t>
      </w:r>
      <w:r>
        <w:rPr>
          <w:rFonts w:hint="eastAsia" w:asciiTheme="minorEastAsia" w:hAnsiTheme="minorEastAsia" w:eastAsiaTheme="minorEastAsia"/>
          <w:szCs w:val="21"/>
          <w:lang w:eastAsia="zh-CN"/>
        </w:rPr>
        <w:t>承租</w:t>
      </w:r>
      <w:r>
        <w:rPr>
          <w:rFonts w:hint="eastAsia" w:asciiTheme="minorEastAsia" w:hAnsiTheme="minorEastAsia" w:eastAsiaTheme="minorEastAsia"/>
          <w:szCs w:val="21"/>
          <w:u w:val="single"/>
          <w:lang w:eastAsia="zh-CN"/>
        </w:rPr>
        <w:t>杭州市上城区中山中路323号房屋7年租赁权</w:t>
      </w:r>
      <w:r>
        <w:rPr>
          <w:rFonts w:hint="eastAsia" w:asciiTheme="minorEastAsia" w:hAnsiTheme="minorEastAsia" w:eastAsiaTheme="minorEastAsia"/>
          <w:szCs w:val="21"/>
        </w:rPr>
        <w:t>，现做</w:t>
      </w:r>
      <w:r>
        <w:rPr>
          <w:rFonts w:asciiTheme="minorEastAsia" w:hAnsiTheme="minorEastAsia" w:eastAsiaTheme="minorEastAsia"/>
          <w:szCs w:val="21"/>
        </w:rPr>
        <w:t>如下承诺：</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1、我</w:t>
      </w:r>
      <w:r>
        <w:rPr>
          <w:rFonts w:asciiTheme="minorEastAsia" w:hAnsiTheme="minorEastAsia" w:eastAsiaTheme="minorEastAsia"/>
          <w:szCs w:val="21"/>
        </w:rPr>
        <w:t>方已</w:t>
      </w:r>
      <w:r>
        <w:rPr>
          <w:rFonts w:hint="eastAsia" w:asciiTheme="minorEastAsia" w:hAnsiTheme="minorEastAsia" w:eastAsiaTheme="minorEastAsia"/>
          <w:szCs w:val="21"/>
        </w:rPr>
        <w:t>认真阅读、知悉并</w:t>
      </w:r>
      <w:r>
        <w:rPr>
          <w:rFonts w:asciiTheme="minorEastAsia" w:hAnsiTheme="minorEastAsia" w:eastAsiaTheme="minorEastAsia"/>
          <w:szCs w:val="21"/>
        </w:rPr>
        <w:t>自愿遵守</w:t>
      </w:r>
      <w:r>
        <w:rPr>
          <w:rFonts w:hint="eastAsia" w:asciiTheme="minorEastAsia" w:hAnsiTheme="minorEastAsia" w:eastAsiaTheme="minorEastAsia" w:cstheme="minorEastAsia"/>
          <w:sz w:val="21"/>
          <w:szCs w:val="21"/>
          <w:highlight w:val="none"/>
          <w:u w:val="single"/>
          <w:lang w:val="en-US" w:eastAsia="zh-CN"/>
        </w:rPr>
        <w:t>《房屋出租交易规则》</w:t>
      </w:r>
      <w:r>
        <w:rPr>
          <w:rFonts w:hint="eastAsia" w:asciiTheme="minorEastAsia" w:hAnsiTheme="minorEastAsia" w:eastAsiaTheme="minorEastAsia" w:cstheme="minorEastAsia"/>
          <w:sz w:val="21"/>
          <w:szCs w:val="21"/>
          <w:highlight w:val="none"/>
          <w:u w:val="none"/>
        </w:rPr>
        <w:t>、</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single"/>
          <w:lang w:val="en-US" w:eastAsia="zh-CN"/>
        </w:rPr>
        <w:t>在线报价实施办法</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none"/>
        </w:rPr>
        <w:t>和</w:t>
      </w:r>
      <w:r>
        <w:rPr>
          <w:rFonts w:hint="eastAsia" w:asciiTheme="minorEastAsia" w:hAnsiTheme="minorEastAsia" w:eastAsiaTheme="minorEastAsia" w:cstheme="minorEastAsia"/>
          <w:sz w:val="21"/>
          <w:szCs w:val="21"/>
          <w:highlight w:val="none"/>
          <w:u w:val="single"/>
          <w:lang w:eastAsia="zh-CN"/>
        </w:rPr>
        <w:t>《</w:t>
      </w:r>
      <w:r>
        <w:rPr>
          <w:rFonts w:hint="eastAsia" w:asciiTheme="minorEastAsia" w:hAnsiTheme="minorEastAsia" w:eastAsiaTheme="minorEastAsia" w:cstheme="minorEastAsia"/>
          <w:sz w:val="21"/>
          <w:szCs w:val="21"/>
          <w:highlight w:val="none"/>
          <w:u w:val="single"/>
          <w:lang w:val="en-US" w:eastAsia="zh-CN"/>
        </w:rPr>
        <w:t>在线报价交易须知</w:t>
      </w:r>
      <w:r>
        <w:rPr>
          <w:rFonts w:hint="eastAsia" w:asciiTheme="minorEastAsia" w:hAnsiTheme="minorEastAsia" w:eastAsiaTheme="minorEastAsia" w:cstheme="minorEastAsia"/>
          <w:sz w:val="21"/>
          <w:szCs w:val="21"/>
          <w:highlight w:val="none"/>
          <w:u w:val="single"/>
          <w:lang w:eastAsia="zh-CN"/>
        </w:rPr>
        <w:t>》</w:t>
      </w:r>
      <w:r>
        <w:rPr>
          <w:rFonts w:asciiTheme="minorEastAsia" w:hAnsiTheme="minorEastAsia" w:eastAsiaTheme="minorEastAsia"/>
          <w:szCs w:val="21"/>
        </w:rPr>
        <w:t>等文件的规定，同意按照相关规定参加</w:t>
      </w:r>
      <w:r>
        <w:rPr>
          <w:rFonts w:hint="eastAsia" w:asciiTheme="minorEastAsia" w:hAnsiTheme="minorEastAsia" w:eastAsiaTheme="minorEastAsia"/>
          <w:szCs w:val="21"/>
        </w:rPr>
        <w:t>本项目竞价</w:t>
      </w:r>
      <w:r>
        <w:rPr>
          <w:rFonts w:asciiTheme="minorEastAsia" w:hAnsiTheme="minorEastAsia" w:eastAsiaTheme="minorEastAsia"/>
          <w:szCs w:val="21"/>
        </w:rPr>
        <w:t>活动。</w:t>
      </w:r>
    </w:p>
    <w:p>
      <w:pPr>
        <w:widowControl/>
        <w:tabs>
          <w:tab w:val="left" w:pos="6975"/>
        </w:tabs>
        <w:spacing w:line="360" w:lineRule="auto"/>
        <w:ind w:firstLine="420" w:firstLineChars="200"/>
        <w:jc w:val="left"/>
        <w:rPr>
          <w:rFonts w:asciiTheme="minorEastAsia" w:hAnsiTheme="minorEastAsia"/>
          <w:szCs w:val="21"/>
        </w:rPr>
      </w:pPr>
      <w:r>
        <w:rPr>
          <w:rFonts w:hint="eastAsia" w:asciiTheme="minorEastAsia" w:hAnsiTheme="minorEastAsia" w:eastAsiaTheme="minorEastAsia"/>
          <w:szCs w:val="21"/>
        </w:rPr>
        <w:t>2、</w:t>
      </w:r>
      <w:r>
        <w:rPr>
          <w:rFonts w:hint="eastAsia" w:asciiTheme="minorEastAsia" w:hAnsiTheme="minorEastAsia" w:eastAsiaTheme="minorEastAsia"/>
          <w:sz w:val="21"/>
          <w:szCs w:val="21"/>
          <w:highlight w:val="none"/>
        </w:rPr>
        <w:t>我方</w:t>
      </w:r>
      <w:r>
        <w:rPr>
          <w:rFonts w:hint="eastAsia" w:asciiTheme="minorEastAsia" w:hAnsiTheme="minorEastAsia"/>
          <w:sz w:val="21"/>
          <w:szCs w:val="21"/>
          <w:highlight w:val="none"/>
        </w:rPr>
        <w:t>提交</w:t>
      </w:r>
      <w:r>
        <w:rPr>
          <w:rFonts w:hint="eastAsia" w:asciiTheme="minorEastAsia" w:hAnsiTheme="minorEastAsia"/>
          <w:sz w:val="21"/>
          <w:szCs w:val="21"/>
          <w:highlight w:val="none"/>
          <w:u w:val="single"/>
        </w:rPr>
        <w:t>承租</w:t>
      </w:r>
      <w:r>
        <w:rPr>
          <w:rFonts w:asciiTheme="minorEastAsia" w:hAnsiTheme="minorEastAsia"/>
          <w:sz w:val="21"/>
          <w:szCs w:val="21"/>
          <w:highlight w:val="none"/>
        </w:rPr>
        <w:t>申请</w:t>
      </w:r>
      <w:r>
        <w:rPr>
          <w:rFonts w:hint="eastAsia" w:asciiTheme="minorEastAsia" w:hAnsiTheme="minorEastAsia"/>
          <w:sz w:val="21"/>
          <w:szCs w:val="21"/>
          <w:highlight w:val="none"/>
          <w:lang w:val="en-US" w:eastAsia="zh-CN"/>
        </w:rPr>
        <w:t>材料</w:t>
      </w:r>
      <w:r>
        <w:rPr>
          <w:rFonts w:asciiTheme="minorEastAsia" w:hAnsiTheme="minorEastAsia"/>
          <w:sz w:val="21"/>
          <w:szCs w:val="21"/>
          <w:highlight w:val="none"/>
        </w:rPr>
        <w:t>并且</w:t>
      </w:r>
      <w:r>
        <w:rPr>
          <w:rFonts w:hint="eastAsia" w:asciiTheme="minorEastAsia" w:hAnsiTheme="minorEastAsia"/>
          <w:sz w:val="21"/>
          <w:szCs w:val="21"/>
          <w:highlight w:val="none"/>
        </w:rPr>
        <w:t>交纳交易</w:t>
      </w:r>
      <w:r>
        <w:rPr>
          <w:rFonts w:asciiTheme="minorEastAsia" w:hAnsiTheme="minorEastAsia"/>
          <w:sz w:val="21"/>
          <w:szCs w:val="21"/>
          <w:highlight w:val="none"/>
        </w:rPr>
        <w:t>保证金后，即视为已详细阅读并完全认可本项</w:t>
      </w:r>
      <w:r>
        <w:rPr>
          <w:rFonts w:hint="eastAsia" w:asciiTheme="minorEastAsia" w:hAnsiTheme="minorEastAsia" w:eastAsiaTheme="minorEastAsia" w:cstheme="minorEastAsia"/>
          <w:sz w:val="21"/>
          <w:szCs w:val="21"/>
          <w:highlight w:val="none"/>
        </w:rPr>
        <w:t>目所披露内容以及已完成对标的的现场踏勘，表明已完全了解并自愿接受标的的全部现状及瑕疵，并自愿承担一切交易风险。</w:t>
      </w:r>
    </w:p>
    <w:p>
      <w:pPr>
        <w:numPr>
          <w:ilvl w:val="0"/>
          <w:numId w:val="0"/>
        </w:numPr>
        <w:spacing w:line="360" w:lineRule="auto"/>
        <w:ind w:firstLine="420" w:firstLineChars="200"/>
        <w:rPr>
          <w:rFonts w:hint="eastAsia" w:asciiTheme="minorEastAsia" w:hAnsiTheme="minorEastAsia" w:eastAsiaTheme="minorEastAsia"/>
          <w:szCs w:val="21"/>
          <w:lang w:eastAsia="zh-CN"/>
        </w:rPr>
      </w:pPr>
      <w:r>
        <w:rPr>
          <w:rFonts w:hint="eastAsia" w:asciiTheme="minorEastAsia" w:hAnsiTheme="minorEastAsia" w:eastAsiaTheme="minorEastAsia"/>
          <w:szCs w:val="21"/>
        </w:rPr>
        <w:t>3、同意在被确定为承租方之日起3个工作日内携带报名时上传的主体资格证明等相关文件原件至杭交所完成现场确认和签署《成交通知书》、交易记录及《房屋租赁合同》等相关合同文件；并在《成交通知书》、《房屋租赁合同》签署之日起5个工作日内向杭交所指定账户一次性支付交易服务费、履约保证金、首期租金等交易资金（以到账时间为准）</w:t>
      </w:r>
      <w:r>
        <w:rPr>
          <w:rFonts w:hint="eastAsia" w:asciiTheme="minorEastAsia" w:hAnsiTheme="minorEastAsia" w:eastAsiaTheme="minorEastAsia"/>
          <w:szCs w:val="21"/>
          <w:lang w:eastAsia="zh-CN"/>
        </w:rPr>
        <w:t>。</w:t>
      </w:r>
    </w:p>
    <w:p>
      <w:pPr>
        <w:numPr>
          <w:ilvl w:val="0"/>
          <w:numId w:val="0"/>
        </w:numPr>
        <w:spacing w:line="360" w:lineRule="auto"/>
        <w:ind w:firstLine="420" w:firstLineChars="200"/>
        <w:rPr>
          <w:rFonts w:hint="eastAsia" w:asciiTheme="minorEastAsia" w:hAnsiTheme="minorEastAsia" w:eastAsiaTheme="minorEastAsia"/>
          <w:b w:val="0"/>
          <w:bCs w:val="0"/>
          <w:szCs w:val="21"/>
        </w:rPr>
      </w:pPr>
      <w:r>
        <w:rPr>
          <w:rFonts w:hint="eastAsia" w:asciiTheme="minorEastAsia" w:hAnsiTheme="minorEastAsia" w:eastAsiaTheme="minorEastAsia"/>
          <w:b w:val="0"/>
          <w:bCs w:val="0"/>
          <w:szCs w:val="21"/>
        </w:rPr>
        <w:t>4、</w:t>
      </w:r>
      <w:r>
        <w:rPr>
          <w:rFonts w:hint="eastAsia"/>
        </w:rPr>
        <w:t>同意杭交所在经出租方申请之日起3个工作日内将承租方已交纳的履约保证金</w:t>
      </w:r>
      <w:r>
        <w:rPr>
          <w:rFonts w:hint="eastAsia"/>
          <w:lang w:eastAsia="zh-CN"/>
        </w:rPr>
        <w:t>、</w:t>
      </w:r>
      <w:r>
        <w:rPr>
          <w:rFonts w:hint="eastAsia"/>
        </w:rPr>
        <w:t>首期租金全部划转至出租方指定账户</w:t>
      </w:r>
      <w:r>
        <w:rPr>
          <w:rFonts w:hint="eastAsia" w:asciiTheme="minorEastAsia" w:hAnsiTheme="minorEastAsia" w:eastAsiaTheme="minorEastAsia"/>
          <w:b w:val="0"/>
          <w:bCs w:val="0"/>
          <w:szCs w:val="21"/>
        </w:rPr>
        <w:t>。</w:t>
      </w:r>
    </w:p>
    <w:p>
      <w:pPr>
        <w:numPr>
          <w:ilvl w:val="0"/>
          <w:numId w:val="0"/>
        </w:numPr>
        <w:spacing w:line="36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5、我方知悉并承诺：</w:t>
      </w:r>
    </w:p>
    <w:p>
      <w:pPr>
        <w:spacing w:line="36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1</w:t>
      </w:r>
      <w:r>
        <w:rPr>
          <w:rFonts w:hint="eastAsia" w:asciiTheme="minorEastAsia" w:hAnsiTheme="minorEastAsia" w:eastAsiaTheme="minorEastAsia"/>
          <w:szCs w:val="21"/>
        </w:rPr>
        <w:t>）出租方对于租赁业态的要求仅系按照经营目标设定，不构成出租方对于满足该业态的任何实质或预期承诺。承租方须在承租前自行对租赁房屋进行全面了解，并对营业所需的各项审批条件和规定进行充分自核。承租方参与竞租的行为将被认为已作充分的预判和决策，无论因何种原因导致不能获得营业开设审批（包括房屋规划用途和房屋既有结构、设计等因素在内），或后续因为政策变化导致无法继续开设的各项经营风险</w:t>
      </w:r>
      <w:bookmarkStart w:id="0" w:name="_GoBack"/>
      <w:bookmarkEnd w:id="0"/>
      <w:r>
        <w:rPr>
          <w:rFonts w:hint="eastAsia" w:asciiTheme="minorEastAsia" w:hAnsiTheme="minorEastAsia" w:eastAsiaTheme="minorEastAsia"/>
          <w:szCs w:val="21"/>
        </w:rPr>
        <w:t>，承租方承诺独立承担，出租方不对无法履行、投入成本、装修损失等承担任何形式的赔偿或补偿责任。</w:t>
      </w:r>
    </w:p>
    <w:p>
      <w:pPr>
        <w:spacing w:line="36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2</w:t>
      </w:r>
      <w:r>
        <w:rPr>
          <w:rFonts w:hint="eastAsia" w:asciiTheme="minorEastAsia" w:hAnsiTheme="minorEastAsia" w:eastAsiaTheme="minorEastAsia"/>
          <w:szCs w:val="21"/>
        </w:rPr>
        <w:t>）承租方在该租赁房屋内开展及经营其业务前，应向政府主管部门取得所有必要的执照、批准或许可证等，自行办理相关许可证及相关登记文件，承担由此产生的费用。承租方应确保该执照、批准或许可证在租赁期限内完全有效，及在各方面均符合该执照、批准或许可证的规定。并且，承租方在该租赁房屋的经营活动不得违反有关的法律、法规，必须确保其经营的合法性，否则，承租方将承担因其不正当经营所造成的一切责任和后果。</w:t>
      </w:r>
    </w:p>
    <w:p>
      <w:pPr>
        <w:spacing w:line="36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3</w:t>
      </w:r>
      <w:r>
        <w:rPr>
          <w:rFonts w:hint="eastAsia" w:asciiTheme="minorEastAsia" w:hAnsiTheme="minorEastAsia" w:eastAsiaTheme="minorEastAsia"/>
          <w:szCs w:val="21"/>
        </w:rPr>
        <w:t>）租赁期内，承租方不得擅自拆改变动房屋结构，不得转租、转借或与第三方合用该房屋，或者对所承租的房屋及设备进行设置抵押、担保或其他权利负担。如承租方擅自转租或设置抵押等权利负担的，转租、转借及抵押等设置权利负担行为无效。出租方有权单方面终止《房屋租赁合同》收回房屋。</w:t>
      </w:r>
    </w:p>
    <w:p>
      <w:pPr>
        <w:spacing w:line="36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4</w:t>
      </w:r>
      <w:r>
        <w:rPr>
          <w:rFonts w:hint="eastAsia" w:asciiTheme="minorEastAsia" w:hAnsiTheme="minorEastAsia" w:eastAsiaTheme="minorEastAsia"/>
          <w:szCs w:val="21"/>
        </w:rPr>
        <w:t>）出租方与承租方的权利和义务以出租方提供的《房屋租赁合同》样本为准。</w:t>
      </w:r>
    </w:p>
    <w:p>
      <w:pPr>
        <w:spacing w:line="360" w:lineRule="auto"/>
        <w:ind w:firstLine="420" w:firstLineChars="200"/>
        <w:rPr>
          <w:rFonts w:hint="eastAsia" w:asciiTheme="minorEastAsia" w:hAnsiTheme="minorEastAsia" w:eastAsiaTheme="minorEastAsia"/>
          <w:szCs w:val="21"/>
          <w:lang w:eastAsia="zh-CN"/>
        </w:rPr>
      </w:pPr>
      <w:r>
        <w:rPr>
          <w:rFonts w:hint="eastAsia" w:asciiTheme="minorEastAsia" w:hAnsiTheme="minorEastAsia" w:eastAsiaTheme="minorEastAsia"/>
          <w:szCs w:val="21"/>
        </w:rPr>
        <w:t>6、我方同意按首年一个月租金交纳交易服务费。</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lang w:val="en-US" w:eastAsia="zh-CN"/>
        </w:rPr>
        <w:t>7</w:t>
      </w:r>
      <w:r>
        <w:rPr>
          <w:rFonts w:asciiTheme="minorEastAsia" w:hAnsiTheme="minorEastAsia" w:eastAsiaTheme="minorEastAsia"/>
          <w:szCs w:val="21"/>
        </w:rPr>
        <w:t>、</w:t>
      </w:r>
      <w:r>
        <w:rPr>
          <w:rFonts w:hint="eastAsia" w:asciiTheme="minorEastAsia" w:hAnsiTheme="minorEastAsia" w:eastAsiaTheme="minorEastAsia"/>
          <w:szCs w:val="21"/>
        </w:rPr>
        <w:t>若非出租方原因，出现以下任一情况时，意向承租方交纳的保证金不予退还，先用于补偿杭交所</w:t>
      </w:r>
      <w:r>
        <w:rPr>
          <w:rFonts w:hint="eastAsia" w:asciiTheme="minorEastAsia" w:hAnsiTheme="minorEastAsia" w:eastAsiaTheme="minorEastAsia"/>
          <w:szCs w:val="21"/>
          <w:lang w:eastAsia="zh-CN"/>
        </w:rPr>
        <w:t>、</w:t>
      </w:r>
      <w:r>
        <w:rPr>
          <w:rFonts w:hint="eastAsia" w:asciiTheme="minorEastAsia" w:hAnsiTheme="minorEastAsia" w:eastAsiaTheme="minorEastAsia"/>
          <w:szCs w:val="21"/>
          <w:lang w:val="en-US" w:eastAsia="zh-CN"/>
        </w:rPr>
        <w:t>经纪会员</w:t>
      </w:r>
      <w:r>
        <w:rPr>
          <w:rFonts w:hint="eastAsia" w:asciiTheme="minorEastAsia" w:hAnsiTheme="minorEastAsia" w:eastAsiaTheme="minorEastAsia"/>
          <w:szCs w:val="21"/>
        </w:rPr>
        <w:t>的各项服务费，剩余部分作为对出租方的经济补偿金，保证金不足以补偿的，相关方有权按照实际损失继续追诉：</w:t>
      </w:r>
    </w:p>
    <w:p>
      <w:pPr>
        <w:spacing w:line="36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（1）意向承租方提交承租申请材料并交纳交易保证金后单方撤回承租申请的；</w:t>
      </w:r>
    </w:p>
    <w:p>
      <w:pPr>
        <w:spacing w:line="36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（2）产生符合条件的意向承租方后，各意向承租方在竞价期间均不报价的；</w:t>
      </w:r>
    </w:p>
    <w:p>
      <w:pPr>
        <w:spacing w:line="36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（3）在被确定为承租方后未按约定签署《</w:t>
      </w:r>
      <w:r>
        <w:rPr>
          <w:rFonts w:hint="eastAsia" w:asciiTheme="minorEastAsia" w:hAnsiTheme="minorEastAsia" w:eastAsiaTheme="minorEastAsia"/>
          <w:szCs w:val="21"/>
          <w:lang w:val="en-US" w:eastAsia="zh-CN"/>
        </w:rPr>
        <w:t>房屋</w:t>
      </w:r>
      <w:r>
        <w:rPr>
          <w:rFonts w:hint="eastAsia" w:asciiTheme="minorEastAsia" w:hAnsiTheme="minorEastAsia" w:eastAsiaTheme="minorEastAsia"/>
          <w:szCs w:val="21"/>
        </w:rPr>
        <w:t>租赁合同》的或未按约定支付首期租金、履约保证金和交易服务费的；</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w:t>
      </w:r>
      <w:r>
        <w:rPr>
          <w:rFonts w:asciiTheme="minorEastAsia" w:hAnsiTheme="minorEastAsia" w:eastAsiaTheme="minorEastAsia"/>
          <w:szCs w:val="21"/>
        </w:rPr>
        <w:t>意向</w:t>
      </w:r>
      <w:r>
        <w:rPr>
          <w:rFonts w:hint="eastAsia" w:asciiTheme="minorEastAsia" w:hAnsiTheme="minorEastAsia" w:eastAsiaTheme="minorEastAsia"/>
          <w:szCs w:val="21"/>
          <w:lang w:eastAsia="zh-CN"/>
        </w:rPr>
        <w:t>承租</w:t>
      </w:r>
      <w:r>
        <w:rPr>
          <w:rFonts w:asciiTheme="minorEastAsia" w:hAnsiTheme="minorEastAsia" w:eastAsiaTheme="minorEastAsia"/>
          <w:szCs w:val="21"/>
        </w:rPr>
        <w:t>方未履行书面承诺事项的；</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存在其他违反交易规则情形的</w:t>
      </w:r>
      <w:r>
        <w:rPr>
          <w:rFonts w:asciiTheme="minorEastAsia" w:hAnsiTheme="minorEastAsia" w:eastAsiaTheme="minorEastAsia"/>
          <w:szCs w:val="21"/>
        </w:rPr>
        <w:t>。</w:t>
      </w:r>
    </w:p>
    <w:p>
      <w:pPr>
        <w:spacing w:line="360" w:lineRule="auto"/>
        <w:rPr>
          <w:rFonts w:asciiTheme="minorEastAsia" w:hAnsiTheme="minorEastAsia" w:eastAsiaTheme="minorEastAsia"/>
          <w:szCs w:val="21"/>
        </w:rPr>
      </w:pP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 xml:space="preserve">                                        意向</w:t>
      </w:r>
      <w:r>
        <w:rPr>
          <w:rFonts w:hint="eastAsia" w:asciiTheme="minorEastAsia" w:hAnsiTheme="minorEastAsia" w:eastAsiaTheme="minorEastAsia"/>
          <w:szCs w:val="21"/>
          <w:lang w:eastAsia="zh-CN"/>
        </w:rPr>
        <w:t>承租</w:t>
      </w:r>
      <w:r>
        <w:rPr>
          <w:rFonts w:hint="eastAsia" w:asciiTheme="minorEastAsia" w:hAnsiTheme="minorEastAsia" w:eastAsiaTheme="minorEastAsia"/>
          <w:szCs w:val="21"/>
        </w:rPr>
        <w:t>方（签章）：</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 xml:space="preserve">                                        </w:t>
      </w:r>
      <w:r>
        <w:rPr>
          <w:rFonts w:hint="eastAsia" w:asciiTheme="minorEastAsia" w:hAnsiTheme="minorEastAsia" w:eastAsiaTheme="minorEastAsia"/>
          <w:szCs w:val="21"/>
          <w:lang w:val="en-US" w:eastAsia="zh-CN"/>
        </w:rPr>
        <w:t>2025</w:t>
      </w:r>
      <w:r>
        <w:rPr>
          <w:rFonts w:hint="eastAsia" w:asciiTheme="minorEastAsia" w:hAnsiTheme="minorEastAsia" w:eastAsiaTheme="minorEastAsia"/>
          <w:szCs w:val="21"/>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337E"/>
    <w:rsid w:val="00143D8A"/>
    <w:rsid w:val="0020310B"/>
    <w:rsid w:val="002278BB"/>
    <w:rsid w:val="002526A0"/>
    <w:rsid w:val="00255411"/>
    <w:rsid w:val="00274544"/>
    <w:rsid w:val="003229C2"/>
    <w:rsid w:val="003A2F6F"/>
    <w:rsid w:val="003E079C"/>
    <w:rsid w:val="00413930"/>
    <w:rsid w:val="00430675"/>
    <w:rsid w:val="004C246D"/>
    <w:rsid w:val="004D1B74"/>
    <w:rsid w:val="004E1479"/>
    <w:rsid w:val="004E3107"/>
    <w:rsid w:val="004F3BEF"/>
    <w:rsid w:val="00503879"/>
    <w:rsid w:val="0055051A"/>
    <w:rsid w:val="00627BE3"/>
    <w:rsid w:val="00662215"/>
    <w:rsid w:val="00737286"/>
    <w:rsid w:val="007847DD"/>
    <w:rsid w:val="00790D21"/>
    <w:rsid w:val="007E4EDD"/>
    <w:rsid w:val="0084282E"/>
    <w:rsid w:val="00884F8A"/>
    <w:rsid w:val="008D72E8"/>
    <w:rsid w:val="00906FAC"/>
    <w:rsid w:val="00934A3A"/>
    <w:rsid w:val="0096235F"/>
    <w:rsid w:val="009733B3"/>
    <w:rsid w:val="009F646A"/>
    <w:rsid w:val="00A11F15"/>
    <w:rsid w:val="00A17388"/>
    <w:rsid w:val="00A24DD0"/>
    <w:rsid w:val="00A53E81"/>
    <w:rsid w:val="00A96775"/>
    <w:rsid w:val="00AA4243"/>
    <w:rsid w:val="00AF7180"/>
    <w:rsid w:val="00B15A11"/>
    <w:rsid w:val="00B170BB"/>
    <w:rsid w:val="00B36433"/>
    <w:rsid w:val="00B91182"/>
    <w:rsid w:val="00B923AA"/>
    <w:rsid w:val="00C02F3D"/>
    <w:rsid w:val="00C07B7D"/>
    <w:rsid w:val="00C2125E"/>
    <w:rsid w:val="00C300A5"/>
    <w:rsid w:val="00C80243"/>
    <w:rsid w:val="00C85BC7"/>
    <w:rsid w:val="00CB5B8C"/>
    <w:rsid w:val="00D5688F"/>
    <w:rsid w:val="00D56D57"/>
    <w:rsid w:val="00E00E55"/>
    <w:rsid w:val="00E60BD5"/>
    <w:rsid w:val="00ED4E9F"/>
    <w:rsid w:val="00EF62AF"/>
    <w:rsid w:val="00F06BEC"/>
    <w:rsid w:val="00F47654"/>
    <w:rsid w:val="00FA0343"/>
    <w:rsid w:val="00FA6AB7"/>
    <w:rsid w:val="015952F6"/>
    <w:rsid w:val="01796719"/>
    <w:rsid w:val="0279645F"/>
    <w:rsid w:val="02EB7464"/>
    <w:rsid w:val="03A523CA"/>
    <w:rsid w:val="04273FE8"/>
    <w:rsid w:val="05474BCA"/>
    <w:rsid w:val="06403643"/>
    <w:rsid w:val="06565574"/>
    <w:rsid w:val="06A907A1"/>
    <w:rsid w:val="06FF3E8A"/>
    <w:rsid w:val="0739342F"/>
    <w:rsid w:val="09377722"/>
    <w:rsid w:val="0A514DBC"/>
    <w:rsid w:val="0BBE3E04"/>
    <w:rsid w:val="0C455BB9"/>
    <w:rsid w:val="0DF647A0"/>
    <w:rsid w:val="0F423341"/>
    <w:rsid w:val="10346095"/>
    <w:rsid w:val="10E20B40"/>
    <w:rsid w:val="11561F17"/>
    <w:rsid w:val="122D5A9B"/>
    <w:rsid w:val="15B80C26"/>
    <w:rsid w:val="166533E4"/>
    <w:rsid w:val="17DF339A"/>
    <w:rsid w:val="18AB29E5"/>
    <w:rsid w:val="1A4B5000"/>
    <w:rsid w:val="1AE30C41"/>
    <w:rsid w:val="1D772D50"/>
    <w:rsid w:val="1E2E20E9"/>
    <w:rsid w:val="1E570CAC"/>
    <w:rsid w:val="1E867034"/>
    <w:rsid w:val="1E9C785A"/>
    <w:rsid w:val="1EC62F0A"/>
    <w:rsid w:val="209558D7"/>
    <w:rsid w:val="2164102D"/>
    <w:rsid w:val="21D62F05"/>
    <w:rsid w:val="224C47AB"/>
    <w:rsid w:val="22596EC8"/>
    <w:rsid w:val="22EF036A"/>
    <w:rsid w:val="25677B0B"/>
    <w:rsid w:val="258432D6"/>
    <w:rsid w:val="25CF0E14"/>
    <w:rsid w:val="25D72BEF"/>
    <w:rsid w:val="25F1264D"/>
    <w:rsid w:val="261256F5"/>
    <w:rsid w:val="26176E7E"/>
    <w:rsid w:val="261B6EAF"/>
    <w:rsid w:val="273E55C5"/>
    <w:rsid w:val="280C6FF3"/>
    <w:rsid w:val="29831BA4"/>
    <w:rsid w:val="29A37426"/>
    <w:rsid w:val="29AC0889"/>
    <w:rsid w:val="2A7A57A9"/>
    <w:rsid w:val="2A7E3585"/>
    <w:rsid w:val="2AC97973"/>
    <w:rsid w:val="2C5B5AFF"/>
    <w:rsid w:val="2C993CF8"/>
    <w:rsid w:val="2D095E73"/>
    <w:rsid w:val="2D462264"/>
    <w:rsid w:val="2EF16AF3"/>
    <w:rsid w:val="2FFC7C4A"/>
    <w:rsid w:val="31831344"/>
    <w:rsid w:val="31A85707"/>
    <w:rsid w:val="31C10B20"/>
    <w:rsid w:val="32824EDB"/>
    <w:rsid w:val="34705D86"/>
    <w:rsid w:val="34B343DA"/>
    <w:rsid w:val="37200BEA"/>
    <w:rsid w:val="37A200AC"/>
    <w:rsid w:val="380B12B2"/>
    <w:rsid w:val="383374BF"/>
    <w:rsid w:val="384E2216"/>
    <w:rsid w:val="38CB4108"/>
    <w:rsid w:val="38DD4350"/>
    <w:rsid w:val="38FD240B"/>
    <w:rsid w:val="39E9751C"/>
    <w:rsid w:val="3A4574B2"/>
    <w:rsid w:val="3AC218E1"/>
    <w:rsid w:val="3B2E3F4D"/>
    <w:rsid w:val="3B872449"/>
    <w:rsid w:val="3C2C0B99"/>
    <w:rsid w:val="3CB624B8"/>
    <w:rsid w:val="3D6B2F4F"/>
    <w:rsid w:val="3D8D11E6"/>
    <w:rsid w:val="3E366EA5"/>
    <w:rsid w:val="3E9079E7"/>
    <w:rsid w:val="3F6A50BE"/>
    <w:rsid w:val="3F7A371C"/>
    <w:rsid w:val="3FFD00BF"/>
    <w:rsid w:val="40FE57EE"/>
    <w:rsid w:val="41266D89"/>
    <w:rsid w:val="414F26D9"/>
    <w:rsid w:val="4305016E"/>
    <w:rsid w:val="450A38F6"/>
    <w:rsid w:val="450C14F7"/>
    <w:rsid w:val="459A4A97"/>
    <w:rsid w:val="464723B1"/>
    <w:rsid w:val="479E5897"/>
    <w:rsid w:val="489A19EF"/>
    <w:rsid w:val="48D83DF3"/>
    <w:rsid w:val="49396F88"/>
    <w:rsid w:val="49927B74"/>
    <w:rsid w:val="4C4308FE"/>
    <w:rsid w:val="4D801570"/>
    <w:rsid w:val="4DD22F16"/>
    <w:rsid w:val="4F092F78"/>
    <w:rsid w:val="4F201E42"/>
    <w:rsid w:val="4FBC2F5F"/>
    <w:rsid w:val="52212BBB"/>
    <w:rsid w:val="54130175"/>
    <w:rsid w:val="54AC0761"/>
    <w:rsid w:val="5502046E"/>
    <w:rsid w:val="552542D2"/>
    <w:rsid w:val="57576ED8"/>
    <w:rsid w:val="576B3208"/>
    <w:rsid w:val="57E43E5E"/>
    <w:rsid w:val="580A29D8"/>
    <w:rsid w:val="58E27BEC"/>
    <w:rsid w:val="59BB5339"/>
    <w:rsid w:val="59C553D4"/>
    <w:rsid w:val="59D25817"/>
    <w:rsid w:val="5A721786"/>
    <w:rsid w:val="5C6F1AF2"/>
    <w:rsid w:val="5D0B1ACB"/>
    <w:rsid w:val="5F263445"/>
    <w:rsid w:val="60D41C1D"/>
    <w:rsid w:val="61AF798C"/>
    <w:rsid w:val="62D637DB"/>
    <w:rsid w:val="63DB45BE"/>
    <w:rsid w:val="63F50A4F"/>
    <w:rsid w:val="65BC6383"/>
    <w:rsid w:val="669B59E7"/>
    <w:rsid w:val="67A91325"/>
    <w:rsid w:val="685936B8"/>
    <w:rsid w:val="69057392"/>
    <w:rsid w:val="6B3B2C71"/>
    <w:rsid w:val="6B5B46E4"/>
    <w:rsid w:val="6BEE766C"/>
    <w:rsid w:val="6C7E0522"/>
    <w:rsid w:val="6D490EB5"/>
    <w:rsid w:val="6DC2291F"/>
    <w:rsid w:val="6DE029CA"/>
    <w:rsid w:val="70681F34"/>
    <w:rsid w:val="71204A9C"/>
    <w:rsid w:val="72C64894"/>
    <w:rsid w:val="744676DC"/>
    <w:rsid w:val="744E1347"/>
    <w:rsid w:val="752E7623"/>
    <w:rsid w:val="76E45562"/>
    <w:rsid w:val="77D53699"/>
    <w:rsid w:val="79944E61"/>
    <w:rsid w:val="7A54014C"/>
    <w:rsid w:val="7ADA7D76"/>
    <w:rsid w:val="7AE52BBB"/>
    <w:rsid w:val="7AFB73C0"/>
    <w:rsid w:val="7BA972A9"/>
    <w:rsid w:val="7D1767FA"/>
    <w:rsid w:val="7E5E1B1E"/>
    <w:rsid w:val="7FFA05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customStyle="1" w:styleId="2">
    <w:name w:val="NormalIndent"/>
    <w:basedOn w:val="1"/>
    <w:qFormat/>
    <w:uiPriority w:val="0"/>
    <w:pPr>
      <w:ind w:firstLine="420"/>
    </w:pPr>
    <w:rPr>
      <w:rFonts w:ascii="Calibri" w:hAnsi="Calibri"/>
      <w:szCs w:val="22"/>
    </w:rPr>
  </w:style>
  <w:style w:type="paragraph" w:styleId="3">
    <w:name w:val="Body Text"/>
    <w:basedOn w:val="1"/>
    <w:next w:val="4"/>
    <w:qFormat/>
    <w:uiPriority w:val="99"/>
    <w:pPr>
      <w:spacing w:before="120" w:after="120" w:line="360" w:lineRule="auto"/>
      <w:ind w:firstLine="800" w:firstLineChars="200"/>
    </w:pPr>
    <w:rPr>
      <w:rFonts w:ascii="宋体" w:hAnsi="宋体"/>
      <w:lang w:val="zh-CN"/>
    </w:rPr>
  </w:style>
  <w:style w:type="paragraph" w:styleId="4">
    <w:name w:val="Body Text First Indent"/>
    <w:basedOn w:val="3"/>
    <w:next w:val="1"/>
    <w:qFormat/>
    <w:uiPriority w:val="99"/>
    <w:pPr>
      <w:ind w:firstLine="420" w:firstLineChars="100"/>
    </w:pPr>
  </w:style>
  <w:style w:type="paragraph" w:styleId="5">
    <w:name w:val="Body Text Indent"/>
    <w:basedOn w:val="1"/>
    <w:qFormat/>
    <w:uiPriority w:val="0"/>
    <w:pPr>
      <w:spacing w:after="120"/>
      <w:ind w:left="420" w:leftChars="200"/>
    </w:pPr>
  </w:style>
  <w:style w:type="paragraph" w:styleId="6">
    <w:name w:val="footer"/>
    <w:basedOn w:val="1"/>
    <w:link w:val="13"/>
    <w:semiHidden/>
    <w:unhideWhenUsed/>
    <w:qFormat/>
    <w:uiPriority w:val="99"/>
    <w:pPr>
      <w:tabs>
        <w:tab w:val="center" w:pos="4153"/>
        <w:tab w:val="right" w:pos="8306"/>
      </w:tabs>
      <w:snapToGrid w:val="0"/>
      <w:jc w:val="left"/>
    </w:pPr>
    <w:rPr>
      <w:sz w:val="18"/>
      <w:szCs w:val="18"/>
    </w:rPr>
  </w:style>
  <w:style w:type="paragraph" w:styleId="7">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HTML Preformatted"/>
    <w:basedOn w:val="1"/>
    <w:unhideWhenUs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9">
    <w:name w:val="Body Text First Indent 2"/>
    <w:basedOn w:val="5"/>
    <w:unhideWhenUsed/>
    <w:qFormat/>
    <w:uiPriority w:val="99"/>
    <w:pPr>
      <w:tabs>
        <w:tab w:val="left" w:pos="6600"/>
      </w:tabs>
      <w:spacing w:line="360" w:lineRule="auto"/>
      <w:ind w:firstLine="420" w:firstLineChars="200"/>
    </w:pPr>
    <w:rPr>
      <w:rFonts w:hint="default" w:cs="Times New Roman"/>
      <w:sz w:val="24"/>
      <w:szCs w:val="22"/>
    </w:rPr>
  </w:style>
  <w:style w:type="character" w:customStyle="1" w:styleId="12">
    <w:name w:val="页眉 Char"/>
    <w:basedOn w:val="11"/>
    <w:link w:val="7"/>
    <w:semiHidden/>
    <w:qFormat/>
    <w:uiPriority w:val="99"/>
    <w:rPr>
      <w:rFonts w:ascii="Times New Roman" w:hAnsi="Times New Roman" w:eastAsia="宋体" w:cs="Times New Roman"/>
      <w:sz w:val="18"/>
      <w:szCs w:val="18"/>
    </w:rPr>
  </w:style>
  <w:style w:type="character" w:customStyle="1" w:styleId="13">
    <w:name w:val="页脚 Char"/>
    <w:basedOn w:val="11"/>
    <w:link w:val="6"/>
    <w:semiHidden/>
    <w:qFormat/>
    <w:uiPriority w:val="99"/>
    <w:rPr>
      <w:rFonts w:ascii="Times New Roman" w:hAnsi="Times New Roman" w:eastAsia="宋体" w:cs="Times New Roman"/>
      <w:sz w:val="18"/>
      <w:szCs w:val="18"/>
    </w:rPr>
  </w:style>
  <w:style w:type="paragraph" w:styleId="14">
    <w:name w:val="List Paragraph"/>
    <w:basedOn w:val="1"/>
    <w:qFormat/>
    <w:uiPriority w:val="34"/>
    <w:pPr>
      <w:ind w:firstLine="420" w:firstLineChars="200"/>
    </w:pPr>
  </w:style>
  <w:style w:type="paragraph" w:customStyle="1" w:styleId="15">
    <w:name w:val="HTML 预设格式 Char"/>
    <w:basedOn w:val="1"/>
    <w:qFormat/>
    <w:uiPriority w:val="0"/>
    <w:pPr>
      <w:spacing w:before="0" w:beforeAutospacing="0" w:after="0" w:afterAutospacing="0"/>
      <w:ind w:left="0" w:right="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160</Words>
  <Characters>912</Characters>
  <Lines>7</Lines>
  <Paragraphs>2</Paragraphs>
  <TotalTime>1</TotalTime>
  <ScaleCrop>false</ScaleCrop>
  <LinksUpToDate>false</LinksUpToDate>
  <CharactersWithSpaces>1070</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HJS-CL</cp:lastModifiedBy>
  <dcterms:modified xsi:type="dcterms:W3CDTF">2025-05-29T01:19:37Z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89F2E91492584960A2BD8545D904B2E2</vt:lpwstr>
  </property>
</Properties>
</file>