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星河商务大厦（解放路89号）1201-1室房屋3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w:t>
      </w:r>
      <w:bookmarkStart w:id="5" w:name="_GoBack"/>
      <w:bookmarkEnd w:id="5"/>
      <w:r>
        <w:rPr>
          <w:rFonts w:hint="eastAsia" w:asciiTheme="minorEastAsia" w:hAnsiTheme="minorEastAsia" w:eastAsiaTheme="minorEastAsia" w:cstheme="minorEastAsia"/>
          <w:szCs w:val="21"/>
        </w:rPr>
        <w:t>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2025-05-29T06:57:23Z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