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r>
        <w:rPr>
          <w:rFonts w:hint="eastAsia" w:ascii="宋体" w:hAnsi="宋体" w:cs="宋体"/>
          <w:lang w:val="en-US" w:eastAsia="zh-CN"/>
        </w:rPr>
        <w:t>上城</w:t>
      </w:r>
      <w:r>
        <w:rPr>
          <w:rFonts w:hint="eastAsia" w:ascii="宋体" w:hAnsi="宋体" w:cs="宋体"/>
        </w:rPr>
        <w:t>区</w:t>
      </w:r>
      <w:r>
        <w:rPr>
          <w:rFonts w:hint="eastAsia" w:ascii="宋体" w:hAnsi="宋体" w:cs="宋体"/>
          <w:lang w:val="en-US" w:eastAsia="zh-CN"/>
        </w:rPr>
        <w:t>星河商务大厦（解放路89号）1203</w:t>
      </w:r>
      <w:bookmarkStart w:id="5" w:name="_GoBack"/>
      <w:bookmarkEnd w:id="5"/>
      <w:r>
        <w:rPr>
          <w:rFonts w:hint="eastAsia" w:ascii="宋体" w:hAnsi="宋体" w:cs="宋体"/>
          <w:lang w:val="en-US" w:eastAsia="zh-CN"/>
        </w:rPr>
        <w:t>-1室房屋3</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4E11C7C"/>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2025-05-29T07:04:14Z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