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w:t>
      </w:r>
      <w:bookmarkStart w:id="0" w:name="OLE_LINK4"/>
      <w:r>
        <w:rPr>
          <w:rFonts w:hint="eastAsia" w:asciiTheme="minorEastAsia" w:hAnsiTheme="minorEastAsia" w:eastAsiaTheme="minorEastAsia"/>
          <w:szCs w:val="21"/>
          <w:lang w:val="en-US" w:eastAsia="zh-CN"/>
        </w:rPr>
        <w:t>杭州市上城区机场路北207号房屋5年租赁权</w:t>
      </w:r>
      <w:bookmarkEnd w:id="0"/>
      <w:bookmarkStart w:id="1" w:name="_GoBack"/>
      <w:bookmarkEnd w:id="1"/>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Theme="minorEastAsia" w:hAnsiTheme="minorEastAsia" w:eastAsiaTheme="minorEastAsia"/>
          <w:szCs w:val="21"/>
        </w:rPr>
        <w:t>。</w:t>
      </w:r>
    </w:p>
    <w:p>
      <w:pPr>
        <w:spacing w:line="360" w:lineRule="auto"/>
        <w:ind w:firstLine="420" w:firstLineChars="200"/>
        <w:rPr>
          <w:rFonts w:hint="eastAsia" w:ascii="宋体" w:hAnsi="宋体"/>
          <w:sz w:val="21"/>
          <w:szCs w:val="21"/>
          <w:highlight w:val="none"/>
        </w:rPr>
      </w:pPr>
      <w:r>
        <w:rPr>
          <w:rFonts w:hint="eastAsia" w:asciiTheme="minorEastAsia" w:hAnsiTheme="minorEastAsia" w:eastAsiaTheme="minorEastAsia"/>
          <w:szCs w:val="21"/>
        </w:rPr>
        <w:t>5、同意</w:t>
      </w:r>
      <w:r>
        <w:rPr>
          <w:rFonts w:hint="eastAsia" w:ascii="宋体" w:hAnsi="宋体"/>
          <w:sz w:val="21"/>
          <w:szCs w:val="21"/>
          <w:lang w:val="en-US" w:eastAsia="zh-CN"/>
        </w:rPr>
        <w:t>承租方应负责对现有消防设施设备的整改直到验收合格</w:t>
      </w:r>
      <w:r>
        <w:rPr>
          <w:rFonts w:hint="eastAsia" w:ascii="宋体" w:hAnsi="宋体"/>
          <w:sz w:val="21"/>
          <w:szCs w:val="21"/>
          <w:highlight w:val="none"/>
        </w:rPr>
        <w:t>。</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6、同意租赁房屋楼顶面积约为1200平方米，铺设有彩钢瓦。因彩钢瓦不符合防火要求，原承租方已将约400平方米彩钢瓦更换为符合防火要求的材料，尚有约800平方米彩钢瓦需要更换，承租方应无条件将剩余彩钢瓦更换为符合防火要求的材料。如原承租方未获得出租标的的，承租方应对原承租方予以补偿。</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租赁房屋未办理房屋不动产权证。承租方负责办理租赁房屋经营所需的或可能发生的所有申请报批手续，并应在取得所有必要的政府有关部门规定的验收合格证书（包括但不限于二次装修消防验收合格证书、环保批文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spacing w:line="360" w:lineRule="auto"/>
        <w:ind w:firstLine="420" w:firstLineChars="200"/>
        <w:rPr>
          <w:rFonts w:hint="eastAsia" w:ascii="宋体" w:hAnsi="宋体"/>
          <w:sz w:val="21"/>
          <w:szCs w:val="21"/>
        </w:rPr>
      </w:pPr>
      <w:r>
        <w:rPr>
          <w:rFonts w:hint="eastAsia" w:asciiTheme="minorEastAsia" w:hAnsiTheme="minorEastAsia" w:eastAsiaTheme="minorEastAsia"/>
          <w:szCs w:val="21"/>
          <w:lang w:val="en-US" w:eastAsia="zh-CN"/>
        </w:rPr>
        <w:t>8、同意</w:t>
      </w:r>
      <w:r>
        <w:rPr>
          <w:rFonts w:hint="eastAsia" w:ascii="宋体" w:hAnsi="宋体"/>
          <w:sz w:val="21"/>
          <w:szCs w:val="21"/>
        </w:rPr>
        <w:t>承租方办理报名申请手续即视为已明确知悉并接受土地用途、房屋的规划用途、产权情况、性质等。</w:t>
      </w:r>
    </w:p>
    <w:p>
      <w:pPr>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9、同意在租赁期内，因不可抗力、城市规划或市政建设需要拆除、改造承租方租赁的房屋或因政府决定收回该租赁房屋，致使《房屋租赁合同》不能继续履行或造成损失，承租方应无条件服从，出租方不承担赔偿责任。因上述原因而终止《房屋租赁合同》时，租金按照承租方实际使用时间计算，不足整月的按天数计算，多退少补。</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11、同意本项目房屋交付以附件《房屋租赁合同》文本相关内容为准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DB122A"/>
    <w:rsid w:val="0AE56273"/>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62112E4"/>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2025-05-27T03:16:57Z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