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我方拟承租杭州市上城区云河西园3幢103室（运河东路495号）部分房屋2年租赁</w:t>
      </w:r>
      <w:bookmarkStart w:id="0" w:name="_GoBack"/>
      <w:bookmarkEnd w:id="0"/>
      <w:r>
        <w:rPr>
          <w:rFonts w:hint="eastAsia" w:asciiTheme="minorEastAsia" w:hAnsiTheme="minorEastAsia" w:eastAsiaTheme="minorEastAsia"/>
          <w:szCs w:val="21"/>
        </w:rPr>
        <w:t>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w:t>
      </w:r>
      <w:r>
        <w:rPr>
          <w:rFonts w:hint="eastAsia"/>
          <w:lang w:val="en-US" w:eastAsia="zh-CN"/>
        </w:rPr>
        <w:t>首期租金、</w:t>
      </w:r>
      <w:r>
        <w:rPr>
          <w:rFonts w:hint="eastAsia"/>
        </w:rPr>
        <w:t>交易服务费</w:t>
      </w:r>
      <w:r>
        <w:rPr>
          <w:rFonts w:hint="eastAsia"/>
          <w:lang w:val="en-US" w:eastAsia="zh-CN"/>
        </w:rPr>
        <w:t>和</w:t>
      </w:r>
      <w:r>
        <w:rPr>
          <w:rFonts w:hint="eastAsia"/>
        </w:rPr>
        <w:t>履约保证金（《房屋租赁协议书》签署当日，承租方交纳的交易保证金依次冲抵交易服务费、履</w:t>
      </w:r>
      <w:r>
        <w:rPr>
          <w:rFonts w:hint="eastAsia" w:ascii="Times New Roman" w:hAnsi="Times New Roman" w:eastAsia="宋体" w:cs="Times New Roman"/>
          <w:lang w:val="en-US" w:eastAsia="zh-CN"/>
        </w:rPr>
        <w:t>约保证金和首期租金）。</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不动产权证证载权利性质为划拨/其它，证载用途为商服用地/公建配套。承租方明确知悉并接受房屋的规划用途、土地性质、产权情况等限制条件。承租方应当在开业前取得营业执照及相关的各类经营许可证，由于承租方无证无照经营行为造</w:t>
      </w:r>
      <w:r>
        <w:rPr>
          <w:rFonts w:hint="eastAsia"/>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如由此引起的经济损失由承租方自行承担，出租方不负任何责任。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15、若我方成为承租方，我方已知悉并同意：出租方与承租方权利义务具体以出租方提供的《房屋租赁协议书》（样本）为准。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16、本项目成交后，我方同意按以下标准支付交易服务费：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（1）各年累计租金在800万元以下，按照各年累计租金的2%收取；（2）各年累计租金在800万元以上的，按照各年累计租金的1.5%收取。</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仅征集到一位意向承租方且成交的，可按以上收费标准减半收取。</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1A378D"/>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B50BF8"/>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2025-04-29T02:54:06Z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